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信息安全事件响应流程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（事件分级、报告与处置）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一、适用范围与事件分类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本流程适用于数据泄露、账号被盗、勒索软件、网络攻击等安全事件。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安全事件分为特别重大、重大、较大与一般四级。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发生任何疑似安全事件，员工都应立即报告，不得自行处置。</w:t>
      </w:r>
    </w:p>
    <w:p>
      <w:pPr>
        <w:pStyle w:val="Heading1"/>
      </w:pPr>
      <w:r>
        <w:t>二、事件分级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特别重大事件指核心系统中断超过 8 小时或机密数据外泄。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重大事件指秘密数据外泄或核心系统中断 2 小时至 8 小时。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较大事件指单个系统中断但可降级运行。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一般事件指未造成业务影响的安全告警。</w:t>
      </w:r>
    </w:p>
    <w:p>
      <w:pPr>
        <w:pStyle w:val="Heading1"/>
      </w:pPr>
      <w:r>
        <w:t>三、报告机制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发现人应在 30 分钟内通过安全事件热线报告信息技术部门。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信息技术部门应在 1 小时内完成初步定级。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特别重大与重大事件应在 2 小时内报告总经理。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涉及个人信息的泄露事件，应在 24 小时内评估是否需要通知个人。</w:t>
      </w:r>
    </w:p>
    <w:p>
      <w:pPr>
        <w:pStyle w:val="Heading1"/>
      </w:pPr>
      <w:r>
        <w:t>四、处置流程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处置分为抑制、根除、恢复与复盘四个阶段。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抑制阶段应优先隔离受影响主机，保留现场证据。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根除阶段应彻底清除恶意程序并修补漏洞。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恢复阶段应使用经过校验的备份数据，不得直接使用受感染数据。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复盘报告应在事件关闭后 5 个工作日内提交。</w:t>
      </w:r>
    </w:p>
    <w:p>
      <w:pPr>
        <w:pStyle w:val="Heading1"/>
      </w:pPr>
      <w:r>
        <w:t>五、证据与协作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证据收集应由 2 人共同进行，形成证据清单与哈希校验值。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证据保存期限不少于 6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涉及刑事犯罪的，应在 24 小时内向公安机关报案。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对外沟通口径由公司统一发布，个人不得擅自对外披露。</w:t>
      </w:r>
    </w:p>
    <w:p>
      <w:pPr>
        <w:pStyle w:val="Heading1"/>
      </w:pPr>
      <w:r>
        <w:t>六、演练与改进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公司每年组织 1 次安全事件应急演练。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演练应覆盖报告、定级、处置与复盘全流程。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演练发现的问题应在 30 天内完成整改。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本流程由信息技术部门负责解释。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本流程自发布之日起施行。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