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公文写作与发文流程规范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（公文格式与用印发文）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一、适用范围与文种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本规范适用于公司对内对外的正式文件。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公司公文文种包括通知、通报、请示、报告、函、会议纪要与制度文件。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对外正式文件须使用公司统一模板，不得自行更改版式。</w:t>
      </w:r>
    </w:p>
    <w:p>
      <w:pPr>
        <w:pStyle w:val="Heading1"/>
      </w:pPr>
      <w:r>
        <w:t>二、格式要求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公文标题使用二号小标宋体，正文使用三号仿宋体。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正文行距为 28 磅，页边距上 3.7 厘米、下 3.5 厘米、左 2.8 厘米、右 2.6 厘米。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文件编号采用“公司简称〔年份〕序号”格式，序号为 3 位数字。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落款处应注明发文部门与成文日期，日期使用阿拉伯数字。</w:t>
      </w:r>
    </w:p>
    <w:p>
      <w:pPr>
        <w:pStyle w:val="Heading1"/>
      </w:pPr>
      <w:r>
        <w:t>三、起草与审核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公文由承办部门起草，部门主管为第一审核人。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涉及资金、人事与法务内容的公文，须分别由财务、人力资源与法务会签。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会签部门应在 2 个工作日内完成审核并反馈意见。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公文定稿前应完成错别字与格式检查，检查项不少于 6 项。</w:t>
      </w:r>
    </w:p>
    <w:p>
      <w:pPr>
        <w:pStyle w:val="Heading1"/>
      </w:pPr>
      <w:r>
        <w:t>四、签发与用印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对内通知由部门主管签发，对外函件由总经理签发。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涉及重大事项的公文由公司负责人签发。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用印须填写用印审批单，经签发人签字后由行政部盖章。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印章使用遵循印章使用管理办法，不得在空白纸张上用印。</w:t>
      </w:r>
    </w:p>
    <w:p>
      <w:pPr>
        <w:pStyle w:val="Heading1"/>
      </w:pPr>
      <w:r>
        <w:t>五、发放与归档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正式公文应在签发后 1 个工作日内发放，紧急文件当日发放。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公文发放范围由签发人确定，涉密文件应标注密级与份数。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纸质文件发放应登记份数与签收人，电子文件通过内部系统分发。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公文原件与用印审批单由行政部归档，保存期限不少于 10 年。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本规范由行政部负责解释。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本规范自发布之日起施行。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