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办公用品与耗材管理办法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（办公物资申领与盘点）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一、适用范围与分类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本办法适用于公司办公用品、打印耗材与低值易耗品的管理。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办公用品分为常用文具、打印耗材、清洁用品与劳保用品四类。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单价 200 元以上的物品按固定资产流程管理，不在本办法范围内。</w:t>
      </w:r>
    </w:p>
    <w:p>
      <w:pPr>
        <w:pStyle w:val="Heading1"/>
      </w:pPr>
      <w:r>
        <w:t>二、申领规则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各部门每月 20 日前提交次月办公用品申领计划。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临时申领应在系统提交，由部门主管审批，行政部在 2 个工作日内发放。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常用文具每人每月申领额度为 50 元。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打印纸按部门核定月度配额，超额部分需部门主管说明原因。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签字笔、笔记本等低值文具按季度集中发放 1 次。</w:t>
      </w:r>
    </w:p>
    <w:p>
      <w:pPr>
        <w:pStyle w:val="Heading1"/>
      </w:pPr>
      <w:r>
        <w:t>三、采购与库存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办公用品由行政部集中采购，单次采购金额超过 5000 元的须比价 3 家。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常用物资安全库存为 1 个月用量，低于安全库存时触发补货。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库存盘点每季度 1 次，盘点差异超过 5% 的须查明原因。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库房应保持通风干燥，纸张与耗材离地存放不少于 10 厘米。</w:t>
      </w:r>
    </w:p>
    <w:p>
      <w:pPr>
        <w:pStyle w:val="Heading1"/>
      </w:pPr>
      <w:r>
        <w:t>四、领用与保管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领用应签字确认，领用记录保存 12 个月。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员工应妥善保管领用物品，因人为原因损坏的自行承担。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离职时应归还可重复使用的物品，如订书机、计算器等。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不得将公司办公用品用于私人用途或带离公司。</w:t>
      </w:r>
    </w:p>
    <w:p>
      <w:pPr>
        <w:pStyle w:val="Heading1"/>
      </w:pPr>
      <w:r>
        <w:t>五、节约要求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打印文件默认双面打印，单面打印须说明原因。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内部文件优先使用电子流转，减少纸质打印。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墨盒与硒鼓应回收，由行政部统一交由供应商处理。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各部门年度办公用品费用不得超过预算的 100%。</w:t>
      </w:r>
    </w:p>
    <w:p>
      <w:pPr>
        <w:pStyle w:val="Heading1"/>
      </w:pPr>
      <w:r>
        <w:t>六、附则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本办法由行政部负责解释。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本办法自发布之日起施行。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