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印章使用管理办法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（印章保管、审批与用印登记）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一、印章种类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公司印章包括公章、合同专用章、财务专用章、法人章与部门章。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公章由行政部保管，合同专用章由法务保管，财务专用章与法人章由财务部保管。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部门章由各部门指定专人保管，仅限内部文件使用。</w:t>
      </w:r>
    </w:p>
    <w:p>
      <w:pPr>
        <w:pStyle w:val="Heading1"/>
      </w:pPr>
      <w:r>
        <w:t>二、保管要求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印章应存放于专用保险柜，钥匙与密码由 2 人分别保管。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印章保管人变更时，应办理书面交接并留存印模。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印章不得带出办公场所，确需带出的须经总经理批准并双人同行。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印章遗失应在 1 小时内报行政部，并在 24 小时内登报声明作废。</w:t>
      </w:r>
    </w:p>
    <w:p>
      <w:pPr>
        <w:pStyle w:val="Heading1"/>
      </w:pPr>
      <w:r>
        <w:t>三、用印审批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用印须填写用印审批单，注明用途、文件名称与份数。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常规业务文件由部门主管审批，合同类文件须经法务审核。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涉及金额 50 万元以上的文件用印，须由总经理审批。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空白纸张、空白合同一律不得用印。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用印审批单保存期限不少于 5 年。</w:t>
      </w:r>
    </w:p>
    <w:p>
      <w:pPr>
        <w:pStyle w:val="Heading1"/>
      </w:pPr>
      <w:r>
        <w:t>四、用印登记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用印时应逐份登记，记录日期、文件名称、份数、申请人。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用印文件应留存复印件或电子扫描件备查。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登记记录每月由行政部复核 1 次。</w:t>
      </w:r>
    </w:p>
    <w:p>
      <w:pPr>
        <w:pStyle w:val="Heading1"/>
      </w:pPr>
      <w:r>
        <w:t>五、刻制与销毁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刻制新印章须经总经理批准，并到公安机关指定机构办理。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印章启用前应在行政部留存印模备案。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机构撤销或印章停用的，应在 10 个工作日内交回并统一销毁。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销毁印章须由 2 人监销并留存销毁记录。</w:t>
      </w:r>
    </w:p>
    <w:p>
      <w:pPr>
        <w:pStyle w:val="Heading1"/>
      </w:pPr>
      <w:r>
        <w:t>六、违规处理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未经审批擅自用印的，给予书面警告并追究责任。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伪造、盗用印章的，移交司法机关处理。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因保管不善造成印章丢失的，保管人承担相应责任。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