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固定资产管理办法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（资产购置、领用、盘点与处置）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一、适用范围与标准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本办法适用于单价 2000 元以上、使用年限超过 1 年的有形资产。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固定资产分为电子设备、办公家具、车辆与专用设备四类。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单价 2000 元以下但批量采购总额超过 10000 元的，参照本办法管理。</w:t>
      </w:r>
    </w:p>
    <w:p>
      <w:pPr>
        <w:pStyle w:val="Heading1"/>
      </w:pPr>
      <w:r>
        <w:t>二、购置与入账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资产购置须先提交采购申请，审批通过后执行。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资产到货后由行政部在 3 个工作日内完成验收与编号。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资产编号规则为“类别代码-年份-流水号”，流水号为 4 位。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财务部凭验收单在当月完成入账，并计提折旧。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电子设备折旧年限为 3 年，办公家具为 5 年，车辆为 4 年。</w:t>
      </w:r>
    </w:p>
    <w:p>
      <w:pPr>
        <w:pStyle w:val="Heading1"/>
      </w:pPr>
      <w:r>
        <w:t>三、领用与保管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资产领用应填写领用单，明确使用人与存放地点。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使用人对资产负有保管责任，不得擅自转借或带离公司。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因公携带设备外出超过 3 天的，应在系统登记。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资产维修由行政部统一安排，单次维修费用超过原值 30% 的应评估是否更换。</w:t>
      </w:r>
    </w:p>
    <w:p>
      <w:pPr>
        <w:pStyle w:val="Heading1"/>
      </w:pPr>
      <w:r>
        <w:t>四、盘点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固定资产每年盘点 1 次，盘点时间为每年 12 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盘点差异率超过 2% 的，由行政部与财务部联合查明原因。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盘亏资产应追究使用人责任，盘盈资产应补办入账手续。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盘点报告应在次年 1 月 31 日前提交总经理。</w:t>
      </w:r>
    </w:p>
    <w:p>
      <w:pPr>
        <w:pStyle w:val="Heading1"/>
      </w:pPr>
      <w:r>
        <w:t>五、调拨与处置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部门间调拨资产须填写调拨单，经双方部门主管确认。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资产报废须由使用部门提出申请，行政部鉴定后报总经理审批。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报废资产应统一处置，处置收入全额上缴公司账户。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资产处置后应在 5 个工作日内完成账务核销。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涉密设备报废前应做数据销毁处理并留存记录。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本办法由行政部与财务部共同解释。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