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安全生产责任制管理办法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（安全职责、检查与事故处理）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一、适用范围与原则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本办法适用于公司全部办公场所与作业现场。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安全生产坚持安全第一、预防为主、综合治理的方针。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公司实行安全生产责任制，主要负责人为第一责任人。</w:t>
      </w:r>
    </w:p>
    <w:p>
      <w:pPr>
        <w:pStyle w:val="Heading1"/>
      </w:pPr>
      <w:r>
        <w:t>二、职责分工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公司主要负责人对本单位安全生产工作全面负责。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各部门主管为本部门安全生产直接责任人。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行政部为安全生产归口管理部门，配备专职安全员 1 名。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员工应遵守安全操作规程，正确使用劳动防护用品。</w:t>
      </w:r>
    </w:p>
    <w:p>
      <w:pPr>
        <w:pStyle w:val="Heading1"/>
      </w:pPr>
      <w:r>
        <w:t>三、教育培训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新员工入职应接受不少于 8 小时的安全培训。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在岗员工每年接受安全再培训不少于 8 小时。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特种作业人员应持证上岗，证书每 3 年复审 1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安全培训应留存签到表与考核记录，保存 3 年。</w:t>
      </w:r>
    </w:p>
    <w:p>
      <w:pPr>
        <w:pStyle w:val="Heading1"/>
      </w:pPr>
      <w:r>
        <w:t>四、检查与隐患整改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安全员每周开展 1 次日常检查，每月开展 1 次综合检查。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检查发现的一般隐患应在 3 个工作日内整改完毕。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重大隐患应制定整改方案，明确责任人、资金与时限。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重大隐患整改期限一般不超过 30 天，特殊情况不超过 90 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隐患整改应形成闭环记录，验收合格后销项。</w:t>
      </w:r>
    </w:p>
    <w:p>
      <w:pPr>
        <w:pStyle w:val="Heading1"/>
      </w:pPr>
      <w:r>
        <w:t>五、事故报告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发生人身伤害事故，现场人员应立即拨打急救电话并报告安全员。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事故应在 1 小时内报告公司主要负责人。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轻伤事故由公司内部调查，重伤及以上事故按规定报告监管部门。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事故调查应在 15 个工作日内完成并出具调查报告。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事故处理坚持四不放过原则，落实整改与追责。</w:t>
      </w:r>
    </w:p>
    <w:p>
      <w:pPr>
        <w:pStyle w:val="Heading1"/>
      </w:pPr>
      <w:r>
        <w:t>六、奖惩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年度安全生产考核优秀的部门，给予部门负责人 2000 元奖励。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发生责任事故的部门，取消当年评优资格。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违章指挥或强令冒险作业的，给予记过以上处理。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