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数据分级与信息分类规范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（数据分级、标识与使用范围）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本规范适用于公司在经营活动中产生与收集的全部数据。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数据分为公开、内部、秘密、机密四个级别。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数据分级由数据产生部门负责初判，信息技术部门复核。</w:t>
      </w:r>
    </w:p>
    <w:p>
      <w:pPr>
        <w:pStyle w:val="Heading1"/>
      </w:pPr>
      <w:r>
        <w:t>二、分级标准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公开级指可对外发布的信息，如宣传材料与公开报价。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内部级指仅限公司员工知悉的信息，如内部通知与会议纪要。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秘密级指泄露后会造成较大损失的信息，如客户名单与合同条款。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机密级指泄露后会造成重大损失的信息，如源代码与财务明细。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涉及个人信息的数据，一律不低于内部级。</w:t>
      </w:r>
    </w:p>
    <w:p>
      <w:pPr>
        <w:pStyle w:val="Heading1"/>
      </w:pPr>
      <w:r>
        <w:t>三、标识与存储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文件应在首页右上角标注密级，电子文件在文件名前缀标注密级代码。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秘密级与机密级数据须存储在公司指定系统，不得存放于个人网盘。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机密级数据应加密存储，密钥由信息技术部门统一管理。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数据分级标识应在数据全生命周期内保持一致。</w:t>
      </w:r>
    </w:p>
    <w:p>
      <w:pPr>
        <w:pStyle w:val="Heading1"/>
      </w:pPr>
      <w:r>
        <w:t>四、使用与共享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公开级数据可对外提供，无需审批。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内部级数据对外提供须经部门主管审批。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秘密级数据对外提供须经总经理审批，并签署保密协议。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机密级数据原则上不得对外提供，确需提供的须经公司负责人批准。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对外共享数据应优先采用脱敏方式，脱敏比例不低于 80%。</w:t>
      </w:r>
    </w:p>
    <w:p>
      <w:pPr>
        <w:pStyle w:val="Heading1"/>
      </w:pPr>
      <w:r>
        <w:t>五、传输与销毁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秘密级以上数据传输应使用加密通道。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禁止通过即时通讯工具传输机密级数据。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数据销毁应采用多次覆写或物理销毁方式。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销毁过程应有 2 人见证并留存销毁记录，保存 3 年。</w:t>
      </w:r>
    </w:p>
    <w:p>
      <w:pPr>
        <w:pStyle w:val="Heading1"/>
      </w:pPr>
      <w:r>
        <w:t>六、检查与责任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信息技术部门每季度组织 1 次数据分级抽查，抽查比例不低于 10%。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发现未按要求标识的，责令 5 个工作日内整改。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因分级不当导致泄露的，追究数据产生部门责任。</w:t>
      </w:r>
    </w:p>
    <w:p>
      <w:pPr>
        <w:pStyle w:val="Heading1"/>
      </w:pPr>
      <w:r>
        <w:t>七、附则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本规范由信息技术部门负责解释。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本规范自发布之日起施行。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