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数据备份与恢复管理办法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（备份策略、演练与恢复）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一、适用范围与目标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本办法适用于公司业务系统、数据库与文件服务器数据。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核心业务系统恢复时间目标为 4 小时，恢复点目标为 15 分钟。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非核心系统恢复时间目标为 24 小时，恢复点目标为 24 小时。</w:t>
      </w:r>
    </w:p>
    <w:p>
      <w:pPr>
        <w:pStyle w:val="Heading1"/>
      </w:pPr>
      <w:r>
        <w:t>二、备份策略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数据库实行每日全量备份，每小时增量备份。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文件服务器实行每日增量备份、每周全量备份。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备份保留周期为：日备份 30 天、周备份 12 周、月备份 12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年度归档备份保存期限不少于 5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核心系统采用本地与异地双份备份。</w:t>
      </w:r>
    </w:p>
    <w:p>
      <w:pPr>
        <w:pStyle w:val="Heading1"/>
      </w:pPr>
      <w:r>
        <w:t>三、介质与存放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备份介质包括磁盘阵列与对象存储，不得使用个人移动硬盘。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异地备份机房与主机房直线距离不少于 50 公里。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备份介质应每季度检查 1 次可读性。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备份数据应加密存储，加密算法采用 AES-256。</w:t>
      </w:r>
    </w:p>
    <w:p>
      <w:pPr>
        <w:pStyle w:val="Heading1"/>
      </w:pPr>
      <w:r>
        <w:t>四、恢复演练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核心系统每半年进行 1 次恢复演练。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非核心系统每年进行 1 次恢复演练。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演练应形成书面报告，记录恢复耗时与数据完整性校验结果。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演练失败的系统应在 10 个工作日内完成整改并复演。</w:t>
      </w:r>
    </w:p>
    <w:p>
      <w:pPr>
        <w:pStyle w:val="Heading1"/>
      </w:pPr>
      <w:r>
        <w:t>五、监控与告警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备份任务失败应在 15 分钟内告警至运维值班人员。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连续 2 次备份失败的，应升级为重大事件处理。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备份成功率月度目标不低于 99%。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备份日志保存期限不少于 12 个月。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本办法由信息技术部门负责解释。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