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档案归档与借阅管理办法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（档案分类、归档与借阅）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一、档案范围与分类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本办法适用于公司各类纸质与电子档案的管理。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档案分为行政档案、人事档案、财务档案、合同档案与技术档案五类。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档案密级分为公开、内部、秘密三级。</w:t>
      </w:r>
    </w:p>
    <w:p>
      <w:pPr>
        <w:pStyle w:val="Heading1"/>
      </w:pPr>
      <w:r>
        <w:t>二、归档要求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各部门应于每季度末月 25 日前完成本季度档案归档。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归档文件应为原件，电子档案应同时保存可读格式与原始格式。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归档时应编制案卷目录，注明序号、题名、日期与页数。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同一事项的文件应集中归档，不得分散在多个案卷。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档案盒标注应统一，包含年度、类别与案卷号。</w:t>
      </w:r>
    </w:p>
    <w:p>
      <w:pPr>
        <w:pStyle w:val="Heading1"/>
      </w:pPr>
      <w:r>
        <w:t>三、保管期限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行政类档案保管期限为 10 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人事档案与财务档案保管期限为 30 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合同档案自合同履行完毕后保管 15 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技术档案按产品生命周期保管，最短不少于 5 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期满档案经鉴定后可销毁，销毁须编制清册并由 2 人监销。</w:t>
      </w:r>
    </w:p>
    <w:p>
      <w:pPr>
        <w:pStyle w:val="Heading1"/>
      </w:pPr>
      <w:r>
        <w:t>四、借阅管理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内部借阅应填写借阅单，经部门主管审批。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秘密级档案借阅须经总经理审批，且不得带离档案室。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纸质档案借阅期限一般不超过 5 个工作日，可续借 1 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借阅人不得涂改、拆页、抽换或转借档案。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逾期未还的，档案室应发出书面催还通知。</w:t>
      </w:r>
    </w:p>
    <w:p>
      <w:pPr>
        <w:pStyle w:val="Heading1"/>
      </w:pPr>
      <w:r>
        <w:t>五、电子档案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电子档案应存储在指定的档案系统，不得仅保存在个人电脑。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电子档案文件夹命名规则为“年度-类别-案卷号”。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电子档案每月备份 1 次，备份介质异地保存。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电子档案的访问权限由档案管理员按岗位配置。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