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电脑与账号管理规范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（终端设备与系统账号管理）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一、适用范围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本规范适用于公司配发的办公电脑、移动设备与全部业务系统账号。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员工不得使用个人设备处理公司涉密数据。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账号实行实名制，一人一号，不得共用。</w:t>
      </w:r>
    </w:p>
    <w:p>
      <w:pPr>
        <w:pStyle w:val="Heading1"/>
      </w:pPr>
      <w:r>
        <w:t>二、设备领用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新员工入职当日由信息技术部门发放办公电脑并登记资产编号。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标准配置为 16GB 内存、512GB 固态硬盘的笔记本 1 台。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设备领用后由员工本人在领用单上签字确认。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设备出现故障应在系统提交报修单，响应时限为 4 个工作小时。</w:t>
      </w:r>
    </w:p>
    <w:p>
      <w:pPr>
        <w:pStyle w:val="Heading1"/>
      </w:pPr>
      <w:r>
        <w:t>三、账号与密码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业务系统账号由信息技术部门按岗位权限开通。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密码长度不少于 12 位，须包含大写字母、小写字母、数字与符号中的 3 类。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密码每 90 天更换 1 次，不得重复使用最近 5 次的历史密码。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连续 5 次输入错误密码，账号锁定 30 分钟。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账号连续 90 天未登录的，自动停用。</w:t>
      </w:r>
    </w:p>
    <w:p>
      <w:pPr>
        <w:pStyle w:val="Heading1"/>
      </w:pPr>
      <w:r>
        <w:t>四、权限管理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权限申请须由部门主管审批，信息技术部门在 1 个工作日内开通。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权限按最小必要原则授予，临时权限有效期不超过 7 天。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员工转岗时应在 3 个工作日内完成权限调整。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员工离职当日 18:00 前停用全部账号。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特权账号（管理员）仅授予信息技术部门指定人员，操作须留痕。</w:t>
      </w:r>
    </w:p>
    <w:p>
      <w:pPr>
        <w:pStyle w:val="Heading1"/>
      </w:pPr>
      <w:r>
        <w:t>五、终端安全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办公电脑应安装公司统一的终端防护软件，不得自行卸载。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操作系统补丁应在发布后 15 天内完成安装。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禁止安装未经审批的远程控制软件与破解工具。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移动存储设备使用前须进行病毒扫描，涉密设备禁用外部存储。</w:t>
      </w:r>
    </w:p>
    <w:p>
      <w:pPr>
        <w:pStyle w:val="Heading1"/>
      </w:pPr>
      <w:r>
        <w:t>六、违规处理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　转借账号或将账号密码告知他人的，给予书面警告。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第二十三条　因账号保管不善导致数据泄露的，按信息安全事件处理。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第二十四条　私自拆卸设备或更换硬件的，按设备原值赔偿。</w:t>
      </w:r>
    </w:p>
    <w:p>
      <w:pPr>
        <w:pStyle w:val="Heading1"/>
      </w:pPr>
      <w:r>
        <w:t>七、附则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第二十五条　本规范由信息技术部门负责解释。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第二十六条　本规范自发布之日起施行。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