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0"/>
        </w:rPr>
        <w:t>考勤管理细则</w:t>
      </w:r>
    </w:p>
    <w:p>
      <w:pPr>
        <w:jc w:val="center"/>
      </w:pPr>
      <w:r>
        <w:rPr>
          <w:rFonts w:ascii="宋体" w:hAnsi="宋体" w:eastAsia="宋体"/>
          <w:b w:val="0"/>
          <w:sz w:val="22"/>
        </w:rPr>
        <w:t>（员工考勤与工时管理）</w:t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发布部门：公司行政部　　生效日期：2026 年 10 月 1 日　　版本：V1.0</w:t>
      </w:r>
    </w:p>
    <w:p>
      <w:pPr>
        <w:pStyle w:val="Heading1"/>
      </w:pPr>
      <w:r>
        <w:t>一、适用范围与工时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第一条　本细则适用于公司全体在职员工，包括研发部、市场部及职能部门的常驻人员。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第二条　公司实行标准工时制，每日工作 8 小时，每周工作 5 天，具体上下班时间以公司公告为准。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第三条　实行轮班或驻场作业的岗位，由部门主管在每月 25 日前提交次月排班表，报人力资源部备案。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第四条　驻场人员在外办公期间，以客户方考勤记录为准，回公司后 5 个工作日内报备。</w:t>
      </w:r>
    </w:p>
    <w:p>
      <w:pPr>
        <w:pStyle w:val="Heading1"/>
      </w:pPr>
      <w:r>
        <w:t>二、打卡与考勤记录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第五条　员工每日上下班各打卡一次，打卡方式为办公区门禁闸机或考勤系统手机端定位打卡。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第六条　因公外出无法打卡的，应在当日 18:00 前在考勤系统提交外出单，注明事由、地点与预计返回时间。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第七条　忘记打卡的，应在次月 3 日前提交补卡申请，每人每月补卡上限为 3 次。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第八条　单月补卡超过 3 次的，超出部分按事假半天计算。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第九条　考勤系统记录保存期限为 24 个月。</w:t>
      </w:r>
    </w:p>
    <w:p>
      <w:pPr>
        <w:pStyle w:val="Heading1"/>
      </w:pPr>
      <w:r>
        <w:t>三、迟到、早退与旷工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第十条　超过上班时间 15 分钟未到岗且未提交外出单的，记为迟到。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第十一条　提前 15 分钟以上离岗且未办理请假手续的，记为早退。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第十二条　单月累计迟到与早退合计 3 次以上的，扣除当月全勤奖。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第十三条　未办理请假手续且未到岗，超过 4 小时按旷工半天计算，超过 8 小时按旷工 1 天计算。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第十四条　旷工期间不计发工资，并按公司规章制度相关条款处理。</w:t>
      </w:r>
    </w:p>
    <w:p>
      <w:pPr>
        <w:pStyle w:val="Heading1"/>
      </w:pPr>
      <w:r>
        <w:t>四、加班与调休申请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第十五条　加班应提前 1 个工作日在考勤系统提交加班申请，注明工作内容与预计时长。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第十六条　加班申请由直属组长审批，单次超过 8 小时的加班须由部门主管审批。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第十七条　未提交或未获批准的延长工作时间，不认定为加班。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第十八条　经批准的加班可按 1:1 折算调休，调休应在加班发生后 6 个月内使用。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第十九条　调休申请需提前 1 个工作日提交，由直属组长审批，单次调休不超过 2 天。</w:t>
      </w:r>
    </w:p>
    <w:p>
      <w:pPr>
        <w:pStyle w:val="Heading1"/>
      </w:pPr>
      <w:r>
        <w:t>五、考勤统计与异常处理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第二十条　人力资源部每月 5 日前生成本月考勤报表，并在内部系统公示 3 个工作日。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第二十一条　员工对考勤结果有异议的，应在公示期内提交复核申请，逾期不再受理。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第二十二条　复核申请由人力资源部在收到后 5 个工作日内答复。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第二十三条　考勤结果作为当月工资核算与年度考核的依据之一。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第二十四条　连续 3 个月考勤异常的员工，由直属组长进行面谈并形成书面记录。</w:t>
      </w:r>
    </w:p>
    <w:p>
      <w:pPr>
        <w:pStyle w:val="Heading1"/>
      </w:pPr>
      <w:r>
        <w:t>六、附则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第二十五条　本细则由人力资源部负责解释与修订。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第二十六条　本细则自发布之日起施行，与国家法律法规冲突的以法律法规为准。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第二十七条　本细则未尽事宜按公司规章制度执行。</w:t>
      </w:r>
    </w:p>
    <w:sectPr w:rsidR="00FC693F" w:rsidRPr="0006063C" w:rsidSect="00034616">
      <w:pgSz w:w="12240" w:h="15840"/>
      <w:pgMar w:top="1440" w:right="1474" w:bottom="1440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F2A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