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车辆使用管理办法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（公务用车与出行管理）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一、适用范围与车辆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本办法适用于公司公务车辆与员工私车公用的管理。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公司现有公务车 2 辆，其中商务车 1 辆、轿车 1 辆，由行政部统一调度。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公务车仅限公务用途，不得用于私人事务。</w:t>
      </w:r>
    </w:p>
    <w:p>
      <w:pPr>
        <w:pStyle w:val="Heading1"/>
      </w:pPr>
      <w:r>
        <w:t>二、用车申请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用车应提前 1 个工作日在系统提交申请，注明事由、路线与预计里程。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市内用车由部门主管审批，跨市用车须由总经理审批。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紧急用车可先电话报备，事后 1 个工作日内补单。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同一时段申请冲突的，按申请提交时间与业务紧急程度排序。</w:t>
      </w:r>
    </w:p>
    <w:p>
      <w:pPr>
        <w:pStyle w:val="Heading1"/>
      </w:pPr>
      <w:r>
        <w:t>三、驾驶与安全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公务车须由公司备案的驾驶员驾驶，备案驾驶员应持有有效驾驶证满 2 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驾驶员出车前应检查油量、胎压与灯光，并在用车单上记录。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严禁酒后驾驶、疲劳驾驶与超速行驶。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发生交通事故应在 10 分钟内报告行政部，并按规定报警与报险。</w:t>
      </w:r>
    </w:p>
    <w:p>
      <w:pPr>
        <w:pStyle w:val="Heading1"/>
      </w:pPr>
      <w:r>
        <w:t>四、费用与加油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公务车加油使用公司加油卡，一车一卡，不得转借。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过路费与停车费凭票据据实报销。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私车公用按每公里 1.5 元补贴，需提供行驶路线与里程记录。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私车公用期间发生的违章罚款由车主自行承担。</w:t>
      </w:r>
    </w:p>
    <w:p>
      <w:pPr>
        <w:pStyle w:val="Heading1"/>
      </w:pPr>
      <w:r>
        <w:t>五、归还与记录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用车结束后应将车辆停放至指定车位，并在当日归还钥匙。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用车人应如实填写用车单，包括起止里程与费用。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车辆保养每 5000 公里或每 6 个月一次，以先到者为准。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车辆维修应事先报行政部，单次维修费用超过 2000 元的须报总经理审批。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本办法由行政部负责解释。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本办法自发布之日起施行。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