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违纪处理与申诉管理办法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（违纪认定与员工申诉）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发布部门：公司行政部　　生效日期：2026 年 10 月 1 日　　版本：V1.0</w:t>
      </w:r>
    </w:p>
    <w:p>
      <w:pPr>
        <w:pStyle w:val="Heading1"/>
      </w:pPr>
      <w:r>
        <w:t>一、适用范围与原则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第一条　本办法适用于公司全体在职员工。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第二条　违纪处理应坚持事实清楚、依据充分、程序正当、处理适当的原则。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第三条　处理决定作出前，应告知员工事实与依据，听取其陈述与申辩。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第四条　处理决定应以书面形式送达员工本人，并存入员工档案。</w:t>
      </w:r>
    </w:p>
    <w:p>
      <w:pPr>
        <w:pStyle w:val="Heading1"/>
      </w:pPr>
      <w:r>
        <w:t>二、违纪分级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第五条　违纪行为分为轻微违纪、一般违纪与严重违纪三级。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第六条　轻微违纪包括单次迟到早退、未按规定着装、会议迟到等。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第七条　一般违纪包括月度累计迟到早退 3 次以上、未按规定提交工作报告、擅自调班等。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第八条　严重违纪包括连续旷工 3 天、泄露商业秘密、伪造凭证、收受商业贿赂等。</w:t>
      </w:r>
    </w:p>
    <w:p>
      <w:pPr>
        <w:pStyle w:val="Heading1"/>
      </w:pPr>
      <w:r>
        <w:t>三、处理措施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第九条　轻微违纪给予口头提醒，并由直属组长记录。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第十条　一般违纪给予书面警告，扣减当月绩效奖金 — 具体标准按公司规定执行。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第十一条　严重违纪可给予记过、降职、调岗直至解除劳动合同。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第十二条　一年内累计 2 次书面警告的，按严重违纪处理。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第十三条　造成公司直接经济损失的，除纪律处理外还应承担赔偿责任。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第十四条　涉嫌违法犯罪的，移交司法机关处理。</w:t>
      </w:r>
    </w:p>
    <w:p>
      <w:pPr>
        <w:pStyle w:val="Heading1"/>
      </w:pPr>
      <w:r>
        <w:t>四、处理程序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第十五条　违纪事实由直属组长在 3 个工作日内调查并形成书面报告。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第十六条　书面报告应经部门主管审核后提交人力资源部。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第十七条　人力资源部应在收到报告后 5 个工作日内完成复核。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第十八条　拟作出解除劳动合同决定的，应提前 3 个工作日书面通知本人并听取申辩。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第十九条　处理决定自送达之日起生效，员工应在决定书上签字确认。</w:t>
      </w:r>
    </w:p>
    <w:p>
      <w:pPr>
        <w:pStyle w:val="Heading1"/>
      </w:pPr>
      <w:r>
        <w:t>五、申诉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第二十条　员工对处理决定不服的，可在收到决定书后 5 个工作日内提出书面申诉。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第二十一条　申诉应向人力资源部提交，写明申诉理由与相关证据。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第二十二条　人力资源部应在收到申诉后 10 个工作日内组织复核并书面答复。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第二十三条　申诉期间原处理决定不停止执行。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第二十四条　对复核结果仍有异议的，可依法申请劳动争议仲裁。</w:t>
      </w:r>
    </w:p>
    <w:p>
      <w:pPr>
        <w:pStyle w:val="Heading1"/>
      </w:pPr>
      <w:r>
        <w:t>六、附则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第二十五条　本办法由人力资源部负责解释。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第二十六条　本办法自发布之日起施行，与国家法律法规冲突的以法律法规为准。</w:t>
      </w:r>
    </w:p>
    <w:sectPr w:rsidR="00FC693F" w:rsidRPr="0006063C" w:rsidSect="00034616">
      <w:pgSz w:w="12240" w:h="15840"/>
      <w:pgMar w:top="1440" w:right="1474" w:bottom="1440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2A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