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Calibri" w:hAnsi="Calibri"/>
          <w:b/>
          <w:i w:val="0"/>
          <w:color w:val="2E74B5"/>
          <w:sz w:val="21"/>
        </w:rPr>
        <w:t>MTGR HOST PROGRESSION</w:t>
      </w:r>
    </w:p>
    <w:p>
      <w:pPr>
        <w:spacing w:after="160"/>
        <w:jc w:val="center"/>
      </w:pPr>
      <w:r>
        <w:rPr>
          <w:rFonts w:ascii="Calibri" w:hAnsi="Calibri"/>
          <w:b/>
          <w:i w:val="0"/>
          <w:color w:val="1F355E"/>
          <w:sz w:val="60"/>
        </w:rPr>
        <w:t>Host Command Branch</w:t>
        <w:br/>
        <w:t>Design Guide</w:t>
      </w:r>
    </w:p>
    <w:p>
      <w:pPr>
        <w:spacing w:after="560"/>
        <w:jc w:val="center"/>
      </w:pPr>
      <w:r>
        <w:rPr>
          <w:rFonts w:ascii="Calibri" w:hAnsi="Calibri"/>
          <w:b w:val="0"/>
          <w:i w:val="0"/>
          <w:color w:val="2E74B5"/>
          <w:sz w:val="28"/>
        </w:rPr>
        <w:t>Dominion, Torment, Control, and the 30-Power Expansion Framework</w:t>
      </w:r>
    </w:p>
    <w:p>
      <w:pPr>
        <w:spacing w:after="1480"/>
        <w:jc w:val="center"/>
      </w:pPr>
      <w:r>
        <w:rPr>
          <w:rFonts w:ascii="Calibri" w:hAnsi="Calibri"/>
          <w:b w:val="0"/>
          <w:i/>
          <w:color w:val="666666"/>
          <w:sz w:val="21"/>
        </w:rPr>
        <w:t>A practical design reference for the MTGR development and rules teams</w:t>
      </w:r>
    </w:p>
    <w:p>
      <w:pPr>
        <w:jc w:val="center"/>
      </w:pPr>
      <w:r>
        <w:rPr>
          <w:rFonts w:ascii="Calibri" w:hAnsi="Calibri"/>
          <w:b/>
          <w:i w:val="0"/>
          <w:color w:val="1F355E"/>
          <w:sz w:val="22"/>
        </w:rPr>
        <w:t>VERSION 0.1  |  AUGUST 30, 2026</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vAlign w:val="center"/>
          </w:tcPr>
          <w:p>
            <w:pPr>
              <w:spacing w:after="0"/>
            </w:pPr>
            <w:r>
              <w:rPr>
                <w:rFonts w:ascii="Calibri" w:hAnsi="Calibri"/>
                <w:b/>
                <w:i w:val="0"/>
                <w:color w:val="1F355E"/>
                <w:sz w:val="20"/>
              </w:rPr>
              <w:t xml:space="preserve">Status: </w:t>
            </w:r>
            <w:r>
              <w:rPr>
                <w:rFonts w:ascii="Calibri" w:hAnsi="Calibri"/>
                <w:b w:val="0"/>
                <w:i w:val="0"/>
                <w:color w:val="202020"/>
                <w:sz w:val="20"/>
              </w:rPr>
              <w:t>Design guide for Command ideation and playtest review. All unapproved mechanics, names, numbers, and unlock gates remain subject to change.</w:t>
            </w:r>
          </w:p>
        </w:tc>
      </w:tr>
    </w:tbl>
    <w:p>
      <w:pPr>
        <w:spacing w:after="0"/>
      </w:pPr>
    </w:p>
    <w:p>
      <w:r>
        <w:br w:type="page"/>
      </w:r>
    </w:p>
    <w:p>
      <w:pPr>
        <w:spacing w:after="0" w:line="240" w:lineRule="auto"/>
      </w:pPr>
      <w:r>
        <w:rPr>
          <w:rFonts w:ascii="Calibri" w:hAnsi="Calibri"/>
          <w:b w:val="0"/>
          <w:i w:val="0"/>
          <w:color w:val="FFFFFF"/>
          <w:sz w:val="6"/>
        </w:rPr>
        <w:t xml:space="preserve"> </w:t>
      </w:r>
    </w:p>
    <w:p>
      <w:pPr>
        <w:pStyle w:val="Heading1"/>
      </w:pPr>
      <w:r>
        <w:t>Purpose and Design North Star</w:t>
      </w:r>
    </w:p>
    <w:p>
      <w:r>
        <w:t>This guide gives the dev team a shared language for creating Host Commands. It defines what each branch should feel like, which mechanics belong there, what counterplay players should retain, and how proposals should be reviewed before implementation.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2F0D9"/>
            <w:tcMar>
              <w:top w:w="80" w:type="dxa"/>
              <w:start w:w="120" w:type="dxa"/>
              <w:bottom w:w="80" w:type="dxa"/>
              <w:end w:w="120" w:type="dxa"/>
            </w:tcMar>
            <w:vAlign w:val="center"/>
          </w:tcPr>
          <w:p>
            <w:pPr>
              <w:spacing w:after="0"/>
            </w:pPr>
            <w:r>
              <w:rPr>
                <w:rFonts w:ascii="Calibri" w:hAnsi="Calibri"/>
                <w:b/>
                <w:i w:val="0"/>
                <w:color w:val="1F355E"/>
                <w:sz w:val="20"/>
              </w:rPr>
              <w:t xml:space="preserve">North star: </w:t>
            </w:r>
            <w:r>
              <w:rPr>
                <w:rFonts w:ascii="Calibri" w:hAnsi="Calibri"/>
                <w:b w:val="0"/>
                <w:i w:val="0"/>
                <w:color w:val="202020"/>
                <w:sz w:val="20"/>
              </w:rPr>
              <w:t>Host progression expands tactical expression and presentation. It must not become permanent numerical scaling that makes later-rank Hosts unfairly stronger than the players they serve.</w:t>
            </w:r>
          </w:p>
        </w:tc>
      </w:tr>
    </w:tbl>
    <w:p>
      <w:pPr>
        <w:spacing w:after="0"/>
      </w:pPr>
    </w:p>
    <w:p>
      <w:pPr>
        <w:pStyle w:val="Heading2"/>
      </w:pPr>
      <w:r>
        <w:t>The three branches at a glance</w:t>
      </w:r>
    </w:p>
    <w:tbl>
      <w:tblPr>
        <w:tblStyle w:val="TableGrid"/>
        <w:tblW w:type="dxa" w:w="9360"/>
        <w:jc w:val="left"/>
        <w:tblLayout w:type="fixed"/>
        <w:tblLook w:firstColumn="1" w:firstRow="1" w:lastColumn="0" w:lastRow="0" w:noHBand="0" w:noVBand="1" w:val="04A0"/>
        <w:tblInd w:w="120" w:type="dxa"/>
      </w:tblPr>
      <w:tblGrid>
        <w:gridCol w:w="1400"/>
        <w:gridCol w:w="2600"/>
        <w:gridCol w:w="2500"/>
        <w:gridCol w:w="2860"/>
      </w:tblGrid>
      <w:tr>
        <w:trPr>
          <w:tblHeader w:val="true"/>
        </w:trPr>
        <w:tc>
          <w:tcPr>
            <w:tcW w:type="dxa" w:w="14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Branch</w:t>
            </w:r>
          </w:p>
        </w:tc>
        <w:tc>
          <w:tcPr>
            <w:tcW w:type="dxa" w:w="26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Core question</w:t>
            </w:r>
          </w:p>
        </w:tc>
        <w:tc>
          <w:tcPr>
            <w:tcW w:type="dxa" w:w="25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Primary verbs</w:t>
            </w:r>
          </w:p>
        </w:tc>
        <w:tc>
          <w:tcPr>
            <w:tcW w:type="dxa" w:w="286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Player counterplay</w:t>
            </w:r>
          </w:p>
        </w:tc>
      </w:tr>
      <w:tr>
        <w:tc>
          <w:tcPr>
            <w:tcW w:type="dxa" w:w="14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Dominion</w:t>
            </w:r>
          </w:p>
        </w:tc>
        <w:tc>
          <w:tcPr>
            <w:tcW w:type="dxa" w:w="26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What resolves, and on whose terms?</w:t>
            </w:r>
          </w:p>
        </w:tc>
        <w:tc>
          <w:tcPr>
            <w:tcW w:type="dxa" w:w="2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Counter, redirect, protect, suppress</w:t>
            </w:r>
          </w:p>
        </w:tc>
        <w:tc>
          <w:tcPr>
            <w:tcW w:type="dxa" w:w="28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Sequence, bait, answer, choose a safer line</w:t>
            </w:r>
          </w:p>
        </w:tc>
      </w:tr>
      <w:tr>
        <w:tc>
          <w:tcPr>
            <w:tcW w:type="dxa" w:w="14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Torment</w:t>
            </w:r>
          </w:p>
        </w:tc>
        <w:tc>
          <w:tcPr>
            <w:tcW w:type="dxa" w:w="26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What price will you pay to continue?</w:t>
            </w:r>
          </w:p>
        </w:tc>
        <w:tc>
          <w:tcPr>
            <w:tcW w:type="dxa" w:w="25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Choose, pay, reveal, mark, escalate</w:t>
            </w:r>
          </w:p>
        </w:tc>
        <w:tc>
          <w:tcPr>
            <w:tcW w:type="dxa" w:w="28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Choose the cost, avoid the trigger, mitigate the loss</w:t>
            </w:r>
          </w:p>
        </w:tc>
      </w:tr>
      <w:tr>
        <w:tc>
          <w:tcPr>
            <w:tcW w:type="dxa" w:w="14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Control</w:t>
            </w:r>
          </w:p>
        </w:tc>
        <w:tc>
          <w:tcPr>
            <w:tcW w:type="dxa" w:w="26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What can the battlefield safely do now?</w:t>
            </w:r>
          </w:p>
        </w:tc>
        <w:tc>
          <w:tcPr>
            <w:tcW w:type="dxa" w:w="2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Strip, tap, isolate, interdict, divide</w:t>
            </w:r>
          </w:p>
        </w:tc>
        <w:tc>
          <w:tcPr>
            <w:tcW w:type="dxa" w:w="28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Remove the effect, wait it out, reposition, protect</w:t>
            </w:r>
          </w:p>
        </w:tc>
      </w:tr>
    </w:tbl>
    <w:p>
      <w:pPr>
        <w:spacing w:after="0"/>
      </w:pPr>
    </w:p>
    <w:p>
      <w:pPr>
        <w:pStyle w:val="Heading2"/>
      </w:pPr>
      <w:r>
        <w:t>Shared Command assumptions</w:t>
      </w:r>
    </w:p>
    <w:p>
      <w:pPr>
        <w:pStyle w:val="ListBullet"/>
        <w:spacing w:after="80" w:line="300" w:lineRule="auto"/>
        <w:ind w:left="540" w:hanging="271"/>
      </w:pPr>
      <w:r>
        <w:rPr>
          <w:rFonts w:ascii="Calibri" w:hAnsi="Calibri"/>
          <w:b w:val="0"/>
          <w:i w:val="0"/>
          <w:color w:val="202020"/>
          <w:sz w:val="22"/>
        </w:rPr>
        <w:t>Default cost: 1 Authority.</w:t>
      </w:r>
    </w:p>
    <w:p>
      <w:pPr>
        <w:pStyle w:val="ListBullet"/>
        <w:spacing w:after="80" w:line="300" w:lineRule="auto"/>
        <w:ind w:left="540" w:hanging="271"/>
      </w:pPr>
      <w:r>
        <w:rPr>
          <w:rFonts w:ascii="Calibri" w:hAnsi="Calibri"/>
          <w:b w:val="0"/>
          <w:i w:val="0"/>
          <w:color w:val="202020"/>
          <w:sz w:val="22"/>
        </w:rPr>
        <w:t>Default limit: once per encounter.</w:t>
      </w:r>
    </w:p>
    <w:p>
      <w:pPr>
        <w:pStyle w:val="ListBullet"/>
        <w:spacing w:after="80" w:line="300" w:lineRule="auto"/>
        <w:ind w:left="540" w:hanging="271"/>
      </w:pPr>
      <w:r>
        <w:rPr>
          <w:rFonts w:ascii="Calibri" w:hAnsi="Calibri"/>
          <w:b w:val="0"/>
          <w:i w:val="0"/>
          <w:color w:val="202020"/>
          <w:sz w:val="22"/>
        </w:rPr>
        <w:t>Learning a Command adds it to the Host's library; it does not equip it or grant a Command Slot.</w:t>
      </w:r>
    </w:p>
    <w:p>
      <w:pPr>
        <w:pStyle w:val="ListBullet"/>
        <w:spacing w:after="80" w:line="300" w:lineRule="auto"/>
        <w:ind w:left="540" w:hanging="271"/>
      </w:pPr>
      <w:r>
        <w:rPr>
          <w:rFonts w:ascii="Calibri" w:hAnsi="Calibri"/>
          <w:b w:val="0"/>
          <w:i w:val="0"/>
          <w:color w:val="202020"/>
          <w:sz w:val="22"/>
        </w:rPr>
        <w:t>The Host brings a small equipped loadout into a run, preserving meaningful pre-run choices.</w:t>
      </w:r>
    </w:p>
    <w:p>
      <w:pPr>
        <w:pStyle w:val="ListBullet"/>
        <w:spacing w:after="80" w:line="300" w:lineRule="auto"/>
        <w:ind w:left="540" w:hanging="271"/>
      </w:pPr>
      <w:r>
        <w:rPr>
          <w:rFonts w:ascii="Calibri" w:hAnsi="Calibri"/>
          <w:b w:val="0"/>
          <w:i w:val="0"/>
          <w:color w:val="202020"/>
          <w:sz w:val="22"/>
        </w:rPr>
        <w:t>Unapproved destination nodes may be visible in the tree but cannot be purchased, granted, equipped, or counted as active unlocks.</w:t>
      </w:r>
    </w:p>
    <w:p>
      <w:r>
        <w:br w:type="page"/>
      </w:r>
    </w:p>
    <w:p>
      <w:pPr>
        <w:spacing w:after="0" w:line="240" w:lineRule="auto"/>
      </w:pPr>
      <w:r>
        <w:rPr>
          <w:rFonts w:ascii="Calibri" w:hAnsi="Calibri"/>
          <w:b w:val="0"/>
          <w:i w:val="0"/>
          <w:color w:val="FFFFFF"/>
          <w:sz w:val="6"/>
        </w:rPr>
        <w:t xml:space="preserve"> </w:t>
      </w:r>
    </w:p>
    <w:p>
      <w:pPr>
        <w:pStyle w:val="Heading1"/>
      </w:pPr>
      <w:r>
        <w:t>Dominion - Rule the Stack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i w:val="0"/>
                <w:color w:val="1F355E"/>
                <w:sz w:val="20"/>
              </w:rPr>
              <w:t xml:space="preserve">Branch promise: </w:t>
            </w:r>
            <w:r>
              <w:rPr>
                <w:rFonts w:ascii="Calibri" w:hAnsi="Calibri"/>
                <w:b w:val="0"/>
                <w:i w:val="0"/>
                <w:color w:val="202020"/>
                <w:sz w:val="20"/>
              </w:rPr>
              <w:t>The Host is the final authority over how the encounter unfolds. Dominion protects the Host's plan, interrupts coordinated combo turns, and wins narrow contests on the stack.</w:t>
            </w:r>
          </w:p>
        </w:tc>
      </w:tr>
    </w:tbl>
    <w:p>
      <w:pPr>
        <w:spacing w:after="0"/>
      </w:pPr>
    </w:p>
    <w:p>
      <w:pPr>
        <w:spacing w:after="120"/>
      </w:pPr>
      <w:r>
        <w:rPr>
          <w:rFonts w:ascii="Calibri" w:hAnsi="Calibri"/>
          <w:b/>
          <w:i w:val="0"/>
          <w:color w:val="1F355E"/>
          <w:sz w:val="22"/>
        </w:rPr>
        <w:t xml:space="preserve">Player experience: </w:t>
      </w:r>
      <w:r>
        <w:rPr>
          <w:rFonts w:ascii="Calibri" w:hAnsi="Calibri"/>
          <w:b w:val="0"/>
          <w:i w:val="0"/>
          <w:color w:val="202020"/>
          <w:sz w:val="22"/>
        </w:rPr>
        <w:t>Precise, visible intervention. Players should understand what drew the response and still be able to sequence around it, bait it, or answer it.</w:t>
      </w:r>
    </w:p>
    <w:p>
      <w:pPr>
        <w:spacing w:after="120"/>
      </w:pPr>
      <w:r>
        <w:rPr>
          <w:rFonts w:ascii="Calibri" w:hAnsi="Calibri"/>
          <w:b/>
          <w:i w:val="0"/>
          <w:color w:val="1F355E"/>
          <w:sz w:val="22"/>
        </w:rPr>
        <w:t xml:space="preserve">Preferred timing: </w:t>
      </w:r>
      <w:r>
        <w:rPr>
          <w:rFonts w:ascii="Calibri" w:hAnsi="Calibri"/>
          <w:b w:val="0"/>
          <w:i w:val="0"/>
          <w:color w:val="202020"/>
          <w:sz w:val="22"/>
        </w:rPr>
        <w:t>Reactions while a spell or ability is on the stack, with a specific legal target and a clearly defined trigger window.</w:t>
      </w:r>
    </w:p>
    <w:p>
      <w:pPr>
        <w:pStyle w:val="Heading2"/>
      </w:pPr>
      <w:r>
        <w:t>Mechanical territory</w:t>
      </w:r>
    </w:p>
    <w:p>
      <w:pPr>
        <w:pStyle w:val="ListBullet"/>
        <w:spacing w:after="80" w:line="300" w:lineRule="auto"/>
        <w:ind w:left="540" w:hanging="271"/>
      </w:pPr>
      <w:r>
        <w:rPr>
          <w:rFonts w:ascii="Calibri" w:hAnsi="Calibri"/>
          <w:b w:val="0"/>
          <w:i w:val="0"/>
          <w:color w:val="202020"/>
          <w:sz w:val="22"/>
        </w:rPr>
        <w:t>Counter a spell, activated ability, or triggered ability within a defined window.</w:t>
      </w:r>
    </w:p>
    <w:p>
      <w:pPr>
        <w:pStyle w:val="ListBullet"/>
        <w:spacing w:after="80" w:line="300" w:lineRule="auto"/>
        <w:ind w:left="540" w:hanging="271"/>
      </w:pPr>
      <w:r>
        <w:rPr>
          <w:rFonts w:ascii="Calibri" w:hAnsi="Calibri"/>
          <w:b w:val="0"/>
          <w:i w:val="0"/>
          <w:color w:val="202020"/>
          <w:sz w:val="22"/>
        </w:rPr>
        <w:t>Protect a Host spell or ability from player interaction.</w:t>
      </w:r>
    </w:p>
    <w:p>
      <w:pPr>
        <w:pStyle w:val="ListBullet"/>
        <w:spacing w:after="80" w:line="300" w:lineRule="auto"/>
        <w:ind w:left="540" w:hanging="271"/>
      </w:pPr>
      <w:r>
        <w:rPr>
          <w:rFonts w:ascii="Calibri" w:hAnsi="Calibri"/>
          <w:b w:val="0"/>
          <w:i w:val="0"/>
          <w:color w:val="202020"/>
          <w:sz w:val="22"/>
        </w:rPr>
        <w:t>Change targets or restrict stack interaction when the stack is the main subject.</w:t>
      </w:r>
    </w:p>
    <w:p>
      <w:pPr>
        <w:pStyle w:val="ListBullet"/>
        <w:spacing w:after="80" w:line="300" w:lineRule="auto"/>
        <w:ind w:left="540" w:hanging="271"/>
      </w:pPr>
      <w:r>
        <w:rPr>
          <w:rFonts w:ascii="Calibri" w:hAnsi="Calibri"/>
          <w:b w:val="0"/>
          <w:i w:val="0"/>
          <w:color w:val="202020"/>
          <w:sz w:val="22"/>
        </w:rPr>
        <w:t>Temporarily suppress a source after its ability is answered.</w:t>
      </w:r>
    </w:p>
    <w:p>
      <w:pPr>
        <w:pStyle w:val="ListBullet"/>
        <w:spacing w:after="80" w:line="300" w:lineRule="auto"/>
        <w:ind w:left="540" w:hanging="271"/>
      </w:pPr>
      <w:r>
        <w:rPr>
          <w:rFonts w:ascii="Calibri" w:hAnsi="Calibri"/>
          <w:b w:val="0"/>
          <w:i w:val="0"/>
          <w:color w:val="202020"/>
          <w:sz w:val="22"/>
        </w:rPr>
        <w:t>Respond to repeated, copied, or coordinated actions.</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Design with</w:t>
            </w:r>
          </w:p>
        </w:tc>
        <w:tc>
          <w:tcPr>
            <w:tcW w:type="dxa" w:w="648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Design away from</w:t>
            </w:r>
          </w:p>
        </w:tc>
      </w:tr>
      <w:tr>
        <w:tc>
          <w:tcPr>
            <w:tcW w:type="dxa" w:w="288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counter, redirect, protect, copy, suppress, limit</w:t>
            </w:r>
          </w:p>
        </w:tc>
        <w:tc>
          <w:tcPr>
            <w:tcW w:type="dxa" w:w="648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Unconditional removal, broad taxation, random punishment, permanent silence, or encounter-long stack denial.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i w:val="0"/>
                <w:color w:val="1F355E"/>
                <w:sz w:val="20"/>
              </w:rPr>
              <w:t xml:space="preserve">Identity test: </w:t>
            </w:r>
            <w:r>
              <w:rPr>
                <w:rFonts w:ascii="Calibri" w:hAnsi="Calibri"/>
                <w:b w:val="0"/>
                <w:i w:val="0"/>
                <w:color w:val="202020"/>
                <w:sz w:val="20"/>
              </w:rPr>
              <w:t>If the Command's main purpose is to decide whether, how, or against what a spell or ability resolves, it is Dominion.</w:t>
            </w:r>
          </w:p>
        </w:tc>
      </w:tr>
    </w:tbl>
    <w:p>
      <w:pPr>
        <w:spacing w:after="0"/>
      </w:pPr>
    </w:p>
    <w:p>
      <w:pPr>
        <w:pStyle w:val="Heading2"/>
      </w:pPr>
      <w:r>
        <w:t>Current playtest skeleton</w:t>
      </w:r>
    </w:p>
    <w:tbl>
      <w:tblPr>
        <w:tblStyle w:val="TableGrid"/>
        <w:tblW w:type="dxa" w:w="9360"/>
        <w:jc w:val="left"/>
        <w:tblLayout w:type="fixed"/>
        <w:tblLook w:firstColumn="1" w:firstRow="1" w:lastColumn="0" w:lastRow="0" w:noHBand="0" w:noVBand="1" w:val="04A0"/>
        <w:tblInd w:w="120" w:type="dxa"/>
      </w:tblPr>
      <w:tblGrid>
        <w:gridCol w:w="1500"/>
        <w:gridCol w:w="2300"/>
        <w:gridCol w:w="5560"/>
      </w:tblGrid>
      <w:tr>
        <w:trPr>
          <w:tblHeader w:val="true"/>
        </w:trPr>
        <w:tc>
          <w:tcPr>
            <w:tcW w:type="dxa" w:w="15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Node</w:t>
            </w:r>
          </w:p>
        </w:tc>
        <w:tc>
          <w:tcPr>
            <w:tcW w:type="dxa" w:w="23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Command</w:t>
            </w:r>
          </w:p>
        </w:tc>
        <w:tc>
          <w:tcPr>
            <w:tcW w:type="dxa" w:w="556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Approved playtest effect</w:t>
            </w:r>
          </w:p>
        </w:tc>
      </w:tr>
      <w:tr>
        <w:tc>
          <w:tcPr>
            <w:tcW w:type="dxa" w:w="1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Tier I</w:t>
            </w:r>
          </w:p>
        </w:tc>
        <w:tc>
          <w:tcPr>
            <w:tcW w:type="dxa" w:w="23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Seal the Combo</w:t>
            </w:r>
          </w:p>
        </w:tc>
        <w:tc>
          <w:tcPr>
            <w:tcW w:type="dxa" w:w="55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Counter target activated or triggered ability. If its source is a permanent, players cannot activate abilities of that permanent until end of turn.</w:t>
            </w:r>
          </w:p>
        </w:tc>
      </w:tr>
      <w:tr>
        <w:tc>
          <w:tcPr>
            <w:tcW w:type="dxa" w:w="15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Tier II</w:t>
            </w:r>
          </w:p>
        </w:tc>
        <w:tc>
          <w:tcPr>
            <w:tcW w:type="dxa" w:w="23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Answer the Answer</w:t>
            </w:r>
          </w:p>
        </w:tc>
        <w:tc>
          <w:tcPr>
            <w:tcW w:type="dxa" w:w="55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Counter target spell that targets a spell or ability controlled by the Host.</w:t>
            </w:r>
          </w:p>
        </w:tc>
      </w:tr>
      <w:tr>
        <w:tc>
          <w:tcPr>
            <w:tcW w:type="dxa" w:w="1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Tier III</w:t>
            </w:r>
          </w:p>
        </w:tc>
        <w:tc>
          <w:tcPr>
            <w:tcW w:type="dxa" w:w="23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Last Word - STUB</w:t>
            </w:r>
          </w:p>
        </w:tc>
        <w:tc>
          <w:tcPr>
            <w:tcW w:type="dxa" w:w="55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Visible destination only; effect not approved.</w:t>
            </w:r>
          </w:p>
        </w:tc>
      </w:tr>
    </w:tbl>
    <w:p>
      <w:pPr>
        <w:spacing w:after="0"/>
      </w:pPr>
    </w:p>
    <w:p>
      <w:pPr>
        <w:pStyle w:val="Heading2"/>
      </w:pPr>
      <w:r>
        <w:t>Dev-team design prompts</w:t>
      </w:r>
    </w:p>
    <w:p>
      <w:pPr>
        <w:pStyle w:val="ListBullet"/>
        <w:spacing w:after="80" w:line="300" w:lineRule="auto"/>
        <w:ind w:left="540" w:hanging="271"/>
      </w:pPr>
      <w:r>
        <w:rPr>
          <w:rFonts w:ascii="Calibri" w:hAnsi="Calibri"/>
          <w:b w:val="0"/>
          <w:i w:val="0"/>
          <w:color w:val="202020"/>
          <w:sz w:val="22"/>
        </w:rPr>
        <w:t>Create a response that rewards the Host for identifying a coordinated combo without banning multi-spell turns.</w:t>
      </w:r>
    </w:p>
    <w:p>
      <w:pPr>
        <w:pStyle w:val="ListBullet"/>
        <w:spacing w:after="80" w:line="300" w:lineRule="auto"/>
        <w:ind w:left="540" w:hanging="271"/>
      </w:pPr>
      <w:r>
        <w:rPr>
          <w:rFonts w:ascii="Calibri" w:hAnsi="Calibri"/>
          <w:b w:val="0"/>
          <w:i w:val="0"/>
          <w:color w:val="202020"/>
          <w:sz w:val="22"/>
        </w:rPr>
        <w:t>Create a protection tool that can itself be answered and does not make the Host's stack unassailable.</w:t>
      </w:r>
    </w:p>
    <w:p>
      <w:pPr>
        <w:pStyle w:val="ListBullet"/>
        <w:spacing w:after="80" w:line="300" w:lineRule="auto"/>
        <w:ind w:left="540" w:hanging="271"/>
      </w:pPr>
      <w:r>
        <w:rPr>
          <w:rFonts w:ascii="Calibri" w:hAnsi="Calibri"/>
          <w:b w:val="0"/>
          <w:i w:val="0"/>
          <w:color w:val="202020"/>
          <w:sz w:val="22"/>
        </w:rPr>
        <w:t>Create a temporary source-suppression effect whose board state is obvious without notes.</w:t>
      </w:r>
    </w:p>
    <w:p>
      <w:pPr>
        <w:pStyle w:val="ListBullet"/>
        <w:spacing w:after="80" w:line="300" w:lineRule="auto"/>
        <w:ind w:left="540" w:hanging="271"/>
      </w:pPr>
      <w:r>
        <w:rPr>
          <w:rFonts w:ascii="Calibri" w:hAnsi="Calibri"/>
          <w:b w:val="0"/>
          <w:i w:val="0"/>
          <w:color w:val="202020"/>
          <w:sz w:val="22"/>
        </w:rPr>
        <w:t>Create a fork where one path specializes in denial and the other in protection or redirection.</w:t>
      </w:r>
    </w:p>
    <w:p>
      <w:pPr>
        <w:pStyle w:val="Heading1"/>
      </w:pPr>
      <w:r>
        <w:t>Torment - Make Every Choice Hurt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CE4D6"/>
            <w:tcMar>
              <w:top w:w="80" w:type="dxa"/>
              <w:start w:w="120" w:type="dxa"/>
              <w:bottom w:w="80" w:type="dxa"/>
              <w:end w:w="120" w:type="dxa"/>
            </w:tcMar>
            <w:vAlign w:val="center"/>
          </w:tcPr>
          <w:p>
            <w:pPr>
              <w:spacing w:after="0"/>
            </w:pPr>
            <w:r>
              <w:rPr>
                <w:rFonts w:ascii="Calibri" w:hAnsi="Calibri"/>
                <w:b/>
                <w:i w:val="0"/>
                <w:color w:val="1F355E"/>
                <w:sz w:val="20"/>
              </w:rPr>
              <w:t xml:space="preserve">Branch promise: </w:t>
            </w:r>
            <w:r>
              <w:rPr>
                <w:rFonts w:ascii="Calibri" w:hAnsi="Calibri"/>
                <w:b w:val="0"/>
                <w:i w:val="0"/>
                <w:color w:val="202020"/>
                <w:sz w:val="20"/>
              </w:rPr>
              <w:t>The Host weaponizes ambition, fear, and incomplete information. Torment does not simply say no; it makes a player decide which resource they can afford to lose.</w:t>
            </w:r>
          </w:p>
        </w:tc>
      </w:tr>
    </w:tbl>
    <w:p>
      <w:pPr>
        <w:spacing w:after="0"/>
      </w:pPr>
    </w:p>
    <w:p>
      <w:pPr>
        <w:spacing w:after="120"/>
      </w:pPr>
      <w:r>
        <w:rPr>
          <w:rFonts w:ascii="Calibri" w:hAnsi="Calibri"/>
          <w:b/>
          <w:i w:val="0"/>
          <w:color w:val="1F355E"/>
          <w:sz w:val="22"/>
        </w:rPr>
        <w:t xml:space="preserve">Player experience: </w:t>
      </w:r>
      <w:r>
        <w:rPr>
          <w:rFonts w:ascii="Calibri" w:hAnsi="Calibri"/>
          <w:b w:val="0"/>
          <w:i w:val="0"/>
          <w:color w:val="202020"/>
          <w:sz w:val="22"/>
        </w:rPr>
        <w:t>Pressure with agency. The consequence may be severe, but the affected player should normally choose, anticipate, or influence the outcome.</w:t>
      </w:r>
    </w:p>
    <w:p>
      <w:pPr>
        <w:spacing w:after="120"/>
      </w:pPr>
      <w:r>
        <w:rPr>
          <w:rFonts w:ascii="Calibri" w:hAnsi="Calibri"/>
          <w:b/>
          <w:i w:val="0"/>
          <w:color w:val="1F355E"/>
          <w:sz w:val="22"/>
        </w:rPr>
        <w:t xml:space="preserve">Preferred timing: </w:t>
      </w:r>
      <w:r>
        <w:rPr>
          <w:rFonts w:ascii="Calibri" w:hAnsi="Calibri"/>
          <w:b w:val="0"/>
          <w:i w:val="0"/>
          <w:color w:val="202020"/>
          <w:sz w:val="22"/>
        </w:rPr>
        <w:t>Triggered reactions to recognizable behavior or priority actions during a clear Host window. Hidden information may be revealed; hidden rules should not exist.</w:t>
      </w:r>
    </w:p>
    <w:p>
      <w:pPr>
        <w:pStyle w:val="Heading2"/>
      </w:pPr>
      <w:r>
        <w:t>Mechanical territory</w:t>
      </w:r>
    </w:p>
    <w:p>
      <w:pPr>
        <w:pStyle w:val="ListBullet"/>
        <w:spacing w:after="80" w:line="300" w:lineRule="auto"/>
        <w:ind w:left="540" w:hanging="271"/>
      </w:pPr>
      <w:r>
        <w:rPr>
          <w:rFonts w:ascii="Calibri" w:hAnsi="Calibri"/>
          <w:b w:val="0"/>
          <w:i w:val="0"/>
          <w:color w:val="202020"/>
          <w:sz w:val="22"/>
        </w:rPr>
        <w:t>Offer punisher choices involving life, cards, tempo, or information.</w:t>
      </w:r>
    </w:p>
    <w:p>
      <w:pPr>
        <w:pStyle w:val="ListBullet"/>
        <w:spacing w:after="80" w:line="300" w:lineRule="auto"/>
        <w:ind w:left="540" w:hanging="271"/>
      </w:pPr>
      <w:r>
        <w:rPr>
          <w:rFonts w:ascii="Calibri" w:hAnsi="Calibri"/>
          <w:b w:val="0"/>
          <w:i w:val="0"/>
          <w:color w:val="202020"/>
          <w:sz w:val="22"/>
        </w:rPr>
        <w:t>Reveal a hand or declared plan and attach a temporary consequence.</w:t>
      </w:r>
    </w:p>
    <w:p>
      <w:pPr>
        <w:pStyle w:val="ListBullet"/>
        <w:spacing w:after="80" w:line="300" w:lineRule="auto"/>
        <w:ind w:left="540" w:hanging="271"/>
      </w:pPr>
      <w:r>
        <w:rPr>
          <w:rFonts w:ascii="Calibri" w:hAnsi="Calibri"/>
          <w:b w:val="0"/>
          <w:i w:val="0"/>
          <w:color w:val="202020"/>
          <w:sz w:val="22"/>
        </w:rPr>
        <w:t>Mark a player or card for a later, visible consequence.</w:t>
      </w:r>
    </w:p>
    <w:p>
      <w:pPr>
        <w:pStyle w:val="ListBullet"/>
        <w:spacing w:after="80" w:line="300" w:lineRule="auto"/>
        <w:ind w:left="540" w:hanging="271"/>
      </w:pPr>
      <w:r>
        <w:rPr>
          <w:rFonts w:ascii="Calibri" w:hAnsi="Calibri"/>
          <w:b w:val="0"/>
          <w:i w:val="0"/>
          <w:color w:val="202020"/>
          <w:sz w:val="22"/>
        </w:rPr>
        <w:t>Scale when players overextend or knowingly accept risk.</w:t>
      </w:r>
    </w:p>
    <w:p>
      <w:pPr>
        <w:pStyle w:val="ListBullet"/>
        <w:spacing w:after="80" w:line="300" w:lineRule="auto"/>
        <w:ind w:left="540" w:hanging="271"/>
      </w:pPr>
      <w:r>
        <w:rPr>
          <w:rFonts w:ascii="Calibri" w:hAnsi="Calibri"/>
          <w:b w:val="0"/>
          <w:i w:val="0"/>
          <w:color w:val="202020"/>
          <w:sz w:val="22"/>
        </w:rPr>
        <w:t>Reward the Host when a player chooses to press forward.</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Design with</w:t>
            </w:r>
          </w:p>
        </w:tc>
        <w:tc>
          <w:tcPr>
            <w:tcW w:type="dxa" w:w="648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Design away from</w:t>
            </w:r>
          </w:p>
        </w:tc>
      </w:tr>
      <w:tr>
        <w:tc>
          <w:tcPr>
            <w:tcW w:type="dxa" w:w="288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choose, pay, reveal, mark, risk, escalate</w:t>
            </w:r>
          </w:p>
        </w:tc>
        <w:tc>
          <w:tcPr>
            <w:tcW w:type="dxa" w:w="648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Random discard, unavoidable life loss without a decision or trigger, direct player elimination, permanent hand denial, or punishment for ordinary participation with no practical alternative.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i w:val="0"/>
                <w:color w:val="1F355E"/>
                <w:sz w:val="20"/>
              </w:rPr>
              <w:t xml:space="preserve">Identity test: </w:t>
            </w:r>
            <w:r>
              <w:rPr>
                <w:rFonts w:ascii="Calibri" w:hAnsi="Calibri"/>
                <w:b w:val="0"/>
                <w:i w:val="0"/>
                <w:color w:val="202020"/>
                <w:sz w:val="20"/>
              </w:rPr>
              <w:t>If the Command's main purpose is to force a player to choose how they pay for continuing their plan, it is Torment.</w:t>
            </w:r>
          </w:p>
        </w:tc>
      </w:tr>
    </w:tbl>
    <w:p>
      <w:pPr>
        <w:spacing w:after="0"/>
      </w:pPr>
    </w:p>
    <w:p>
      <w:pPr>
        <w:pStyle w:val="Heading2"/>
      </w:pPr>
      <w:r>
        <w:t>Current playtest skeleton</w:t>
      </w:r>
    </w:p>
    <w:tbl>
      <w:tblPr>
        <w:tblStyle w:val="TableGrid"/>
        <w:tblW w:type="dxa" w:w="9360"/>
        <w:jc w:val="left"/>
        <w:tblLayout w:type="fixed"/>
        <w:tblLook w:firstColumn="1" w:firstRow="1" w:lastColumn="0" w:lastRow="0" w:noHBand="0" w:noVBand="1" w:val="04A0"/>
        <w:tblInd w:w="120" w:type="dxa"/>
      </w:tblPr>
      <w:tblGrid>
        <w:gridCol w:w="1500"/>
        <w:gridCol w:w="2300"/>
        <w:gridCol w:w="5560"/>
      </w:tblGrid>
      <w:tr>
        <w:trPr>
          <w:tblHeader w:val="true"/>
        </w:trPr>
        <w:tc>
          <w:tcPr>
            <w:tcW w:type="dxa" w:w="15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Node</w:t>
            </w:r>
          </w:p>
        </w:tc>
        <w:tc>
          <w:tcPr>
            <w:tcW w:type="dxa" w:w="23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Command</w:t>
            </w:r>
          </w:p>
        </w:tc>
        <w:tc>
          <w:tcPr>
            <w:tcW w:type="dxa" w:w="556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Approved playtest effect</w:t>
            </w:r>
          </w:p>
        </w:tc>
      </w:tr>
      <w:tr>
        <w:tc>
          <w:tcPr>
            <w:tcW w:type="dxa" w:w="1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Tier I</w:t>
            </w:r>
          </w:p>
        </w:tc>
        <w:tc>
          <w:tcPr>
            <w:tcW w:type="dxa" w:w="23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Cruel Choice</w:t>
            </w:r>
          </w:p>
        </w:tc>
        <w:tc>
          <w:tcPr>
            <w:tcW w:type="dxa" w:w="55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When a player casts their second spell in a turn, that player may pay 5 life. If they do not, counter that spell.</w:t>
            </w:r>
          </w:p>
        </w:tc>
      </w:tr>
      <w:tr>
        <w:tc>
          <w:tcPr>
            <w:tcW w:type="dxa" w:w="15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Tier II</w:t>
            </w:r>
          </w:p>
        </w:tc>
        <w:tc>
          <w:tcPr>
            <w:tcW w:type="dxa" w:w="23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Forced Exposure</w:t>
            </w:r>
          </w:p>
        </w:tc>
        <w:tc>
          <w:tcPr>
            <w:tcW w:type="dxa" w:w="55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During the Host's main phase while the stack is empty, reveal a target player's hand and choose a nonland card. Spells with that name cost {3} more through that player's next turn.</w:t>
            </w:r>
          </w:p>
        </w:tc>
      </w:tr>
      <w:tr>
        <w:tc>
          <w:tcPr>
            <w:tcW w:type="dxa" w:w="1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Tier III</w:t>
            </w:r>
          </w:p>
        </w:tc>
        <w:tc>
          <w:tcPr>
            <w:tcW w:type="dxa" w:w="23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Marked for Death - STUB</w:t>
            </w:r>
          </w:p>
        </w:tc>
        <w:tc>
          <w:tcPr>
            <w:tcW w:type="dxa" w:w="55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Visible destination only; effect not approved.</w:t>
            </w:r>
          </w:p>
        </w:tc>
      </w:tr>
    </w:tbl>
    <w:p>
      <w:pPr>
        <w:spacing w:after="0"/>
      </w:pPr>
    </w:p>
    <w:p>
      <w:pPr>
        <w:pStyle w:val="Heading2"/>
      </w:pPr>
      <w:r>
        <w:t>Dev-team design prompts</w:t>
      </w:r>
    </w:p>
    <w:p>
      <w:pPr>
        <w:pStyle w:val="ListBullet"/>
        <w:spacing w:after="80" w:line="300" w:lineRule="auto"/>
        <w:ind w:left="540" w:hanging="271"/>
      </w:pPr>
      <w:r>
        <w:rPr>
          <w:rFonts w:ascii="Calibri" w:hAnsi="Calibri"/>
          <w:b w:val="0"/>
          <w:i w:val="0"/>
          <w:color w:val="202020"/>
          <w:sz w:val="22"/>
        </w:rPr>
        <w:t>Create a choice where both options matter but neither simply ends a player's run.</w:t>
      </w:r>
    </w:p>
    <w:p>
      <w:pPr>
        <w:pStyle w:val="ListBullet"/>
        <w:spacing w:after="80" w:line="300" w:lineRule="auto"/>
        <w:ind w:left="540" w:hanging="271"/>
      </w:pPr>
      <w:r>
        <w:rPr>
          <w:rFonts w:ascii="Calibri" w:hAnsi="Calibri"/>
          <w:b w:val="0"/>
          <w:i w:val="0"/>
          <w:color w:val="202020"/>
          <w:sz w:val="22"/>
        </w:rPr>
        <w:t>Create a mark that signals a future consequence with a physical token and a clear expiry.</w:t>
      </w:r>
    </w:p>
    <w:p>
      <w:pPr>
        <w:pStyle w:val="ListBullet"/>
        <w:spacing w:after="80" w:line="300" w:lineRule="auto"/>
        <w:ind w:left="540" w:hanging="271"/>
      </w:pPr>
      <w:r>
        <w:rPr>
          <w:rFonts w:ascii="Calibri" w:hAnsi="Calibri"/>
          <w:b w:val="0"/>
          <w:i w:val="0"/>
          <w:color w:val="202020"/>
          <w:sz w:val="22"/>
        </w:rPr>
        <w:t>Create a reveal effect that produces a temporary decision rather than permanent information dominance.</w:t>
      </w:r>
    </w:p>
    <w:p>
      <w:pPr>
        <w:pStyle w:val="ListBullet"/>
        <w:spacing w:after="80" w:line="300" w:lineRule="auto"/>
        <w:ind w:left="540" w:hanging="271"/>
      </w:pPr>
      <w:r>
        <w:rPr>
          <w:rFonts w:ascii="Calibri" w:hAnsi="Calibri"/>
          <w:b w:val="0"/>
          <w:i w:val="0"/>
          <w:color w:val="202020"/>
          <w:sz w:val="22"/>
        </w:rPr>
        <w:t>Create a fork between immediate punisher choices and delayed marked consequences.</w:t>
      </w:r>
    </w:p>
    <w:p>
      <w:pPr>
        <w:pStyle w:val="Heading1"/>
      </w:pPr>
      <w:r>
        <w:t>Control - Reshape the Battlefield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2F0D9"/>
            <w:tcMar>
              <w:top w:w="80" w:type="dxa"/>
              <w:start w:w="120" w:type="dxa"/>
              <w:bottom w:w="80" w:type="dxa"/>
              <w:end w:w="120" w:type="dxa"/>
            </w:tcMar>
            <w:vAlign w:val="center"/>
          </w:tcPr>
          <w:p>
            <w:pPr>
              <w:spacing w:after="0"/>
            </w:pPr>
            <w:r>
              <w:rPr>
                <w:rFonts w:ascii="Calibri" w:hAnsi="Calibri"/>
                <w:b/>
                <w:i w:val="0"/>
                <w:color w:val="1F355E"/>
                <w:sz w:val="20"/>
              </w:rPr>
              <w:t xml:space="preserve">Branch promise: </w:t>
            </w:r>
            <w:r>
              <w:rPr>
                <w:rFonts w:ascii="Calibri" w:hAnsi="Calibri"/>
                <w:b w:val="0"/>
                <w:i w:val="0"/>
                <w:color w:val="202020"/>
                <w:sz w:val="20"/>
              </w:rPr>
              <w:t>The Host dictates where players may safely act. Control strips protections, closes zones, divides coordinated boards, and creates temporary openings for the encounter to fight back.</w:t>
            </w:r>
          </w:p>
        </w:tc>
      </w:tr>
    </w:tbl>
    <w:p>
      <w:pPr>
        <w:spacing w:after="0"/>
      </w:pPr>
    </w:p>
    <w:p>
      <w:pPr>
        <w:spacing w:after="120"/>
      </w:pPr>
      <w:r>
        <w:rPr>
          <w:rFonts w:ascii="Calibri" w:hAnsi="Calibri"/>
          <w:b/>
          <w:i w:val="0"/>
          <w:color w:val="1F355E"/>
          <w:sz w:val="22"/>
        </w:rPr>
        <w:t xml:space="preserve">Player experience: </w:t>
      </w:r>
      <w:r>
        <w:rPr>
          <w:rFonts w:ascii="Calibri" w:hAnsi="Calibri"/>
          <w:b w:val="0"/>
          <w:i w:val="0"/>
          <w:color w:val="202020"/>
          <w:sz w:val="22"/>
        </w:rPr>
        <w:t>Readable disruption that can be played through. Control creates a window of vulnerability or repositions the fight instead of erasing a player's plan without recourse.</w:t>
      </w:r>
    </w:p>
    <w:p>
      <w:pPr>
        <w:spacing w:after="120"/>
      </w:pPr>
      <w:r>
        <w:rPr>
          <w:rFonts w:ascii="Calibri" w:hAnsi="Calibri"/>
          <w:b/>
          <w:i w:val="0"/>
          <w:color w:val="1F355E"/>
          <w:sz w:val="22"/>
        </w:rPr>
        <w:t xml:space="preserve">Preferred timing: </w:t>
      </w:r>
      <w:r>
        <w:rPr>
          <w:rFonts w:ascii="Calibri" w:hAnsi="Calibri"/>
          <w:b w:val="0"/>
          <w:i w:val="0"/>
          <w:color w:val="202020"/>
          <w:sz w:val="22"/>
        </w:rPr>
        <w:t>Host priority while the stack is empty, the beginning of a phase, or a reaction to a battlefield event. Durations normally end at end of turn, the Host's next turn, or encounter end.</w:t>
      </w:r>
    </w:p>
    <w:p>
      <w:pPr>
        <w:pStyle w:val="Heading2"/>
      </w:pPr>
      <w:r>
        <w:t>Mechanical territory</w:t>
      </w:r>
    </w:p>
    <w:p>
      <w:pPr>
        <w:pStyle w:val="ListBullet"/>
        <w:spacing w:after="80" w:line="300" w:lineRule="auto"/>
        <w:ind w:left="540" w:hanging="271"/>
      </w:pPr>
      <w:r>
        <w:rPr>
          <w:rFonts w:ascii="Calibri" w:hAnsi="Calibri"/>
          <w:b w:val="0"/>
          <w:i w:val="0"/>
          <w:color w:val="202020"/>
          <w:sz w:val="22"/>
        </w:rPr>
        <w:t>Remove hexproof, indestructible, ward, or similar protections temporarily.</w:t>
      </w:r>
    </w:p>
    <w:p>
      <w:pPr>
        <w:pStyle w:val="ListBullet"/>
        <w:spacing w:after="80" w:line="300" w:lineRule="auto"/>
        <w:ind w:left="540" w:hanging="271"/>
      </w:pPr>
      <w:r>
        <w:rPr>
          <w:rFonts w:ascii="Calibri" w:hAnsi="Calibri"/>
          <w:b w:val="0"/>
          <w:i w:val="0"/>
          <w:color w:val="202020"/>
          <w:sz w:val="22"/>
        </w:rPr>
        <w:t>Tap, goad, isolate, or temporarily disable permanents.</w:t>
      </w:r>
    </w:p>
    <w:p>
      <w:pPr>
        <w:pStyle w:val="ListBullet"/>
        <w:spacing w:after="80" w:line="300" w:lineRule="auto"/>
        <w:ind w:left="540" w:hanging="271"/>
      </w:pPr>
      <w:r>
        <w:rPr>
          <w:rFonts w:ascii="Calibri" w:hAnsi="Calibri"/>
          <w:b w:val="0"/>
          <w:i w:val="0"/>
          <w:color w:val="202020"/>
          <w:sz w:val="22"/>
        </w:rPr>
        <w:t>Interdict graveyards or another zone for a bounded duration.</w:t>
      </w:r>
    </w:p>
    <w:p>
      <w:pPr>
        <w:pStyle w:val="ListBullet"/>
        <w:spacing w:after="80" w:line="300" w:lineRule="auto"/>
        <w:ind w:left="540" w:hanging="271"/>
      </w:pPr>
      <w:r>
        <w:rPr>
          <w:rFonts w:ascii="Calibri" w:hAnsi="Calibri"/>
          <w:b w:val="0"/>
          <w:i w:val="0"/>
          <w:color w:val="202020"/>
          <w:sz w:val="22"/>
        </w:rPr>
        <w:t>Create combat restrictions or temporary access denial.</w:t>
      </w:r>
    </w:p>
    <w:p>
      <w:pPr>
        <w:pStyle w:val="ListBullet"/>
        <w:spacing w:after="80" w:line="300" w:lineRule="auto"/>
        <w:ind w:left="540" w:hanging="271"/>
      </w:pPr>
      <w:r>
        <w:rPr>
          <w:rFonts w:ascii="Calibri" w:hAnsi="Calibri"/>
          <w:b w:val="0"/>
          <w:i w:val="0"/>
          <w:color w:val="202020"/>
          <w:sz w:val="22"/>
        </w:rPr>
        <w:t>Change legal targets or combat roles when the battlefield is the main subject.</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Design with</w:t>
            </w:r>
          </w:p>
        </w:tc>
        <w:tc>
          <w:tcPr>
            <w:tcW w:type="dxa" w:w="648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Design away from</w:t>
            </w:r>
          </w:p>
        </w:tc>
      </w:tr>
      <w:tr>
        <w:tc>
          <w:tcPr>
            <w:tcW w:type="dxa" w:w="288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strip, tap, isolate, interdict, divide, reposition</w:t>
            </w:r>
          </w:p>
        </w:tc>
        <w:tc>
          <w:tcPr>
            <w:tcW w:type="dxa" w:w="648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Generic counterspells, unrestricted destruction or exile, permanent theft, mass land denial, repeated turn denial, or hard locks.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i w:val="0"/>
                <w:color w:val="1F355E"/>
                <w:sz w:val="20"/>
              </w:rPr>
              <w:t xml:space="preserve">Identity test: </w:t>
            </w:r>
            <w:r>
              <w:rPr>
                <w:rFonts w:ascii="Calibri" w:hAnsi="Calibri"/>
                <w:b w:val="0"/>
                <w:i w:val="0"/>
                <w:color w:val="202020"/>
                <w:sz w:val="20"/>
              </w:rPr>
              <w:t>If the Command's main purpose is to change what permanents, zones, or combatants can do after they exist, it is Control.</w:t>
            </w:r>
          </w:p>
        </w:tc>
      </w:tr>
    </w:tbl>
    <w:p>
      <w:pPr>
        <w:spacing w:after="0"/>
      </w:pPr>
    </w:p>
    <w:p>
      <w:pPr>
        <w:pStyle w:val="Heading2"/>
      </w:pPr>
      <w:r>
        <w:t>Current playtest skeleton</w:t>
      </w:r>
    </w:p>
    <w:tbl>
      <w:tblPr>
        <w:tblStyle w:val="TableGrid"/>
        <w:tblW w:type="dxa" w:w="9360"/>
        <w:jc w:val="left"/>
        <w:tblLayout w:type="fixed"/>
        <w:tblLook w:firstColumn="1" w:firstRow="1" w:lastColumn="0" w:lastRow="0" w:noHBand="0" w:noVBand="1" w:val="04A0"/>
        <w:tblInd w:w="120" w:type="dxa"/>
      </w:tblPr>
      <w:tblGrid>
        <w:gridCol w:w="1500"/>
        <w:gridCol w:w="2300"/>
        <w:gridCol w:w="5560"/>
      </w:tblGrid>
      <w:tr>
        <w:trPr>
          <w:tblHeader w:val="true"/>
        </w:trPr>
        <w:tc>
          <w:tcPr>
            <w:tcW w:type="dxa" w:w="15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Node</w:t>
            </w:r>
          </w:p>
        </w:tc>
        <w:tc>
          <w:tcPr>
            <w:tcW w:type="dxa" w:w="23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Command</w:t>
            </w:r>
          </w:p>
        </w:tc>
        <w:tc>
          <w:tcPr>
            <w:tcW w:type="dxa" w:w="556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Approved playtest effect</w:t>
            </w:r>
          </w:p>
        </w:tc>
      </w:tr>
      <w:tr>
        <w:tc>
          <w:tcPr>
            <w:tcW w:type="dxa" w:w="1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Tier I</w:t>
            </w:r>
          </w:p>
        </w:tc>
        <w:tc>
          <w:tcPr>
            <w:tcW w:type="dxa" w:w="23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Strip the Shield</w:t>
            </w:r>
          </w:p>
        </w:tc>
        <w:tc>
          <w:tcPr>
            <w:tcW w:type="dxa" w:w="55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Target nonland permanent controlled by a player loses hexproof and indestructible until end of turn.</w:t>
            </w:r>
          </w:p>
        </w:tc>
      </w:tr>
      <w:tr>
        <w:tc>
          <w:tcPr>
            <w:tcW w:type="dxa" w:w="15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Tier II</w:t>
            </w:r>
          </w:p>
        </w:tc>
        <w:tc>
          <w:tcPr>
            <w:tcW w:type="dxa" w:w="23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Grave Interdict</w:t>
            </w:r>
          </w:p>
        </w:tc>
        <w:tc>
          <w:tcPr>
            <w:tcW w:type="dxa" w:w="55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Exile target card from a graveyard. Until end of turn, players cannot cast spells from graveyards or activate abilities of cards in graveyards.</w:t>
            </w:r>
          </w:p>
        </w:tc>
      </w:tr>
      <w:tr>
        <w:tc>
          <w:tcPr>
            <w:tcW w:type="dxa" w:w="1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Tier III</w:t>
            </w:r>
          </w:p>
        </w:tc>
        <w:tc>
          <w:tcPr>
            <w:tcW w:type="dxa" w:w="23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Divide and Conquer - STUB</w:t>
            </w:r>
          </w:p>
        </w:tc>
        <w:tc>
          <w:tcPr>
            <w:tcW w:type="dxa" w:w="55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Visible destination only; effect not approved.</w:t>
            </w:r>
          </w:p>
        </w:tc>
      </w:tr>
    </w:tbl>
    <w:p>
      <w:pPr>
        <w:spacing w:after="0"/>
      </w:pPr>
    </w:p>
    <w:p>
      <w:pPr>
        <w:pStyle w:val="Heading2"/>
      </w:pPr>
      <w:r>
        <w:t>Dev-team design prompts</w:t>
      </w:r>
    </w:p>
    <w:p>
      <w:pPr>
        <w:pStyle w:val="ListBullet"/>
        <w:spacing w:after="80" w:line="300" w:lineRule="auto"/>
        <w:ind w:left="540" w:hanging="271"/>
      </w:pPr>
      <w:r>
        <w:rPr>
          <w:rFonts w:ascii="Calibri" w:hAnsi="Calibri"/>
          <w:b w:val="0"/>
          <w:i w:val="0"/>
          <w:color w:val="202020"/>
          <w:sz w:val="22"/>
        </w:rPr>
        <w:t>Create a protection-stripping effect that opens interaction without guaranteeing removal.</w:t>
      </w:r>
    </w:p>
    <w:p>
      <w:pPr>
        <w:pStyle w:val="ListBullet"/>
        <w:spacing w:after="80" w:line="300" w:lineRule="auto"/>
        <w:ind w:left="540" w:hanging="271"/>
      </w:pPr>
      <w:r>
        <w:rPr>
          <w:rFonts w:ascii="Calibri" w:hAnsi="Calibri"/>
          <w:b w:val="0"/>
          <w:i w:val="0"/>
          <w:color w:val="202020"/>
          <w:sz w:val="22"/>
        </w:rPr>
        <w:t>Create a bounded zone restriction with a strong visual indicator and one clear expiry.</w:t>
      </w:r>
    </w:p>
    <w:p>
      <w:pPr>
        <w:pStyle w:val="ListBullet"/>
        <w:spacing w:after="80" w:line="300" w:lineRule="auto"/>
        <w:ind w:left="540" w:hanging="271"/>
      </w:pPr>
      <w:r>
        <w:rPr>
          <w:rFonts w:ascii="Calibri" w:hAnsi="Calibri"/>
          <w:b w:val="0"/>
          <w:i w:val="0"/>
          <w:color w:val="202020"/>
          <w:sz w:val="22"/>
        </w:rPr>
        <w:t>Create a combat-shaping effect that separates a coordinated board without skipping combat.</w:t>
      </w:r>
    </w:p>
    <w:p>
      <w:pPr>
        <w:pStyle w:val="ListBullet"/>
        <w:spacing w:after="80" w:line="300" w:lineRule="auto"/>
        <w:ind w:left="540" w:hanging="271"/>
      </w:pPr>
      <w:r>
        <w:rPr>
          <w:rFonts w:ascii="Calibri" w:hAnsi="Calibri"/>
          <w:b w:val="0"/>
          <w:i w:val="0"/>
          <w:color w:val="202020"/>
          <w:sz w:val="22"/>
        </w:rPr>
        <w:t>Create a fork between vulnerability tools and positioning or zone-control tools.</w:t>
      </w:r>
    </w:p>
    <w:p>
      <w:pPr>
        <w:pStyle w:val="Heading1"/>
      </w:pPr>
      <w:r>
        <w:t>Shared Design Guardrails</w:t>
      </w:r>
    </w:p>
    <w:p>
      <w:r>
        <w:t>Every proposed Command should pass all seven checks before rules editing or implementation begins.</w:t>
      </w:r>
    </w:p>
    <w:p>
      <w:pPr>
        <w:pStyle w:val="ListNumber"/>
        <w:spacing w:after="80" w:line="300" w:lineRule="auto"/>
        <w:ind w:left="540" w:hanging="271"/>
      </w:pPr>
      <w:r>
        <w:rPr>
          <w:rFonts w:ascii="Calibri" w:hAnsi="Calibri"/>
          <w:b w:val="0"/>
          <w:i w:val="0"/>
          <w:color w:val="202020"/>
          <w:sz w:val="22"/>
        </w:rPr>
        <w:t>It creates a tactical sidegrade, not a permanent increase to Host life, damage, cards, land drops, Authority, or Command Slots.</w:t>
      </w:r>
    </w:p>
    <w:p>
      <w:pPr>
        <w:pStyle w:val="ListNumber"/>
        <w:spacing w:after="80" w:line="300" w:lineRule="auto"/>
        <w:ind w:left="540" w:hanging="271"/>
      </w:pPr>
      <w:r>
        <w:rPr>
          <w:rFonts w:ascii="Calibri" w:hAnsi="Calibri"/>
          <w:b w:val="0"/>
          <w:i w:val="0"/>
          <w:color w:val="202020"/>
          <w:sz w:val="22"/>
        </w:rPr>
        <w:t>Its trigger and legal targets can be stated before the Host spends Authority.</w:t>
      </w:r>
    </w:p>
    <w:p>
      <w:pPr>
        <w:pStyle w:val="ListNumber"/>
        <w:spacing w:after="80" w:line="300" w:lineRule="auto"/>
        <w:ind w:left="540" w:hanging="271"/>
      </w:pPr>
      <w:r>
        <w:rPr>
          <w:rFonts w:ascii="Calibri" w:hAnsi="Calibri"/>
          <w:b w:val="0"/>
          <w:i w:val="0"/>
          <w:color w:val="202020"/>
          <w:sz w:val="22"/>
        </w:rPr>
        <w:t>Its board state and duration can be tracked without private notes or repeated memory checks.</w:t>
      </w:r>
    </w:p>
    <w:p>
      <w:pPr>
        <w:pStyle w:val="ListNumber"/>
        <w:spacing w:after="80" w:line="300" w:lineRule="auto"/>
        <w:ind w:left="540" w:hanging="271"/>
      </w:pPr>
      <w:r>
        <w:rPr>
          <w:rFonts w:ascii="Calibri" w:hAnsi="Calibri"/>
          <w:b w:val="0"/>
          <w:i w:val="0"/>
          <w:color w:val="202020"/>
          <w:sz w:val="22"/>
        </w:rPr>
        <w:t>Players retain meaningful counterplay through sequencing, payment, protection, removal, baiting, or waiting out a duration.</w:t>
      </w:r>
    </w:p>
    <w:p>
      <w:pPr>
        <w:pStyle w:val="ListNumber"/>
        <w:spacing w:after="80" w:line="300" w:lineRule="auto"/>
        <w:ind w:left="540" w:hanging="271"/>
      </w:pPr>
      <w:r>
        <w:rPr>
          <w:rFonts w:ascii="Calibri" w:hAnsi="Calibri"/>
          <w:b w:val="0"/>
          <w:i w:val="0"/>
          <w:color w:val="202020"/>
          <w:sz w:val="22"/>
        </w:rPr>
        <w:t>It resolves in less time than the player action it answers whenever practical.</w:t>
      </w:r>
    </w:p>
    <w:p>
      <w:pPr>
        <w:pStyle w:val="ListNumber"/>
        <w:spacing w:after="80" w:line="300" w:lineRule="auto"/>
        <w:ind w:left="540" w:hanging="271"/>
      </w:pPr>
      <w:r>
        <w:rPr>
          <w:rFonts w:ascii="Calibri" w:hAnsi="Calibri"/>
          <w:b w:val="0"/>
          <w:i w:val="0"/>
          <w:color w:val="202020"/>
          <w:sz w:val="22"/>
        </w:rPr>
        <w:t>It does not duplicate another branch's defining job more efficiently than that branch.</w:t>
      </w:r>
    </w:p>
    <w:p>
      <w:pPr>
        <w:pStyle w:val="ListNumber"/>
        <w:spacing w:after="80" w:line="300" w:lineRule="auto"/>
        <w:ind w:left="540" w:hanging="271"/>
      </w:pPr>
      <w:r>
        <w:rPr>
          <w:rFonts w:ascii="Calibri" w:hAnsi="Calibri"/>
          <w:b w:val="0"/>
          <w:i w:val="0"/>
          <w:color w:val="202020"/>
          <w:sz w:val="22"/>
        </w:rPr>
        <w:t>Its strongest use is exciting once per encounter and would not be acceptable as a repeatable action.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CE4D6"/>
            <w:tcMar>
              <w:top w:w="80" w:type="dxa"/>
              <w:start w:w="120" w:type="dxa"/>
              <w:bottom w:w="80" w:type="dxa"/>
              <w:end w:w="120" w:type="dxa"/>
            </w:tcMar>
            <w:vAlign w:val="center"/>
          </w:tcPr>
          <w:p>
            <w:pPr>
              <w:spacing w:after="0"/>
            </w:pPr>
            <w:r>
              <w:rPr>
                <w:rFonts w:ascii="Calibri" w:hAnsi="Calibri"/>
                <w:b/>
                <w:i w:val="0"/>
                <w:color w:val="1F355E"/>
                <w:sz w:val="20"/>
              </w:rPr>
              <w:t xml:space="preserve">Fast rejection rule: </w:t>
            </w:r>
            <w:r>
              <w:rPr>
                <w:rFonts w:ascii="Calibri" w:hAnsi="Calibri"/>
                <w:b w:val="0"/>
                <w:i w:val="0"/>
                <w:color w:val="202020"/>
                <w:sz w:val="20"/>
              </w:rPr>
              <w:t>Reject or substantially revise any proposal that creates a hard lock, hides a material rule, permanently suppresses ordinary play, or turns Rank into raw encounter power.</w:t>
            </w:r>
          </w:p>
        </w:tc>
      </w:tr>
    </w:tbl>
    <w:p>
      <w:pPr>
        <w:spacing w:after="0"/>
      </w:pPr>
    </w:p>
    <w:p>
      <w:pPr>
        <w:pStyle w:val="Heading2"/>
      </w:pPr>
      <w:r>
        <w:t>Boundary decisions</w:t>
      </w:r>
    </w:p>
    <w:tbl>
      <w:tblPr>
        <w:tblStyle w:val="TableGrid"/>
        <w:tblW w:type="dxa" w:w="9360"/>
        <w:jc w:val="left"/>
        <w:tblLayout w:type="fixed"/>
        <w:tblLook w:firstColumn="1" w:firstRow="1" w:lastColumn="0" w:lastRow="0" w:noHBand="0" w:noVBand="1" w:val="04A0"/>
        <w:tblInd w:w="120" w:type="dxa"/>
      </w:tblPr>
      <w:tblGrid>
        <w:gridCol w:w="6500"/>
        <w:gridCol w:w="2860"/>
      </w:tblGrid>
      <w:tr>
        <w:trPr>
          <w:tblHeader w:val="true"/>
        </w:trPr>
        <w:tc>
          <w:tcPr>
            <w:tcW w:type="dxa" w:w="65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If the design primarily...</w:t>
            </w:r>
          </w:p>
        </w:tc>
        <w:tc>
          <w:tcPr>
            <w:tcW w:type="dxa" w:w="286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Place it in</w:t>
            </w:r>
          </w:p>
        </w:tc>
      </w:tr>
      <w:tr>
        <w:tc>
          <w:tcPr>
            <w:tcW w:type="dxa" w:w="6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Decides whether or how a stack object resolves</w:t>
            </w:r>
          </w:p>
        </w:tc>
        <w:tc>
          <w:tcPr>
            <w:tcW w:type="dxa" w:w="28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Dominion</w:t>
            </w:r>
          </w:p>
        </w:tc>
      </w:tr>
      <w:tr>
        <w:tc>
          <w:tcPr>
            <w:tcW w:type="dxa" w:w="65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Makes a player choose a cost for continuing</w:t>
            </w:r>
          </w:p>
        </w:tc>
        <w:tc>
          <w:tcPr>
            <w:tcW w:type="dxa" w:w="28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Torment</w:t>
            </w:r>
          </w:p>
        </w:tc>
      </w:tr>
      <w:tr>
        <w:tc>
          <w:tcPr>
            <w:tcW w:type="dxa" w:w="6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Changes what permanents, zones, or combatants can do</w:t>
            </w:r>
          </w:p>
        </w:tc>
        <w:tc>
          <w:tcPr>
            <w:tcW w:type="dxa" w:w="28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Control</w:t>
            </w:r>
          </w:p>
        </w:tc>
      </w:tr>
      <w:tr>
        <w:tc>
          <w:tcPr>
            <w:tcW w:type="dxa" w:w="65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Only grants more numbers, slots, Authority, cards, life, or damage</w:t>
            </w:r>
          </w:p>
        </w:tc>
        <w:tc>
          <w:tcPr>
            <w:tcW w:type="dxa" w:w="28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Reject as progression scaling</w:t>
            </w:r>
          </w:p>
        </w:tc>
      </w:tr>
    </w:tbl>
    <w:p>
      <w:pPr>
        <w:spacing w:after="0"/>
      </w:pPr>
    </w:p>
    <w:p>
      <w:r>
        <w:br w:type="page"/>
      </w:r>
    </w:p>
    <w:p>
      <w:pPr>
        <w:spacing w:after="0" w:line="240" w:lineRule="auto"/>
      </w:pPr>
      <w:r>
        <w:rPr>
          <w:rFonts w:ascii="Calibri" w:hAnsi="Calibri"/>
          <w:b w:val="0"/>
          <w:i w:val="0"/>
          <w:color w:val="FFFFFF"/>
          <w:sz w:val="6"/>
        </w:rPr>
        <w:t xml:space="preserve"> </w:t>
      </w:r>
    </w:p>
    <w:p>
      <w:pPr>
        <w:pStyle w:val="Heading1"/>
      </w:pPr>
      <w:r>
        <w:t>The 30-Power Expansion Framework</w:t>
      </w:r>
    </w:p>
    <w:p>
      <w:r>
        <w:t>The current three-node rows are a playtest skeleton, not the final library. A mature Host Profile may expose approximately 30 powers across three acquisition sources while allowing only a small equipped loadout in play.</w:t>
      </w:r>
    </w:p>
    <w:tbl>
      <w:tblPr>
        <w:tblStyle w:val="TableGrid"/>
        <w:tblW w:type="dxa" w:w="9360"/>
        <w:jc w:val="left"/>
        <w:tblLayout w:type="fixed"/>
        <w:tblLook w:firstColumn="1" w:firstRow="1" w:lastColumn="0" w:lastRow="0" w:noHBand="0" w:noVBand="1" w:val="04A0"/>
        <w:tblInd w:w="120" w:type="dxa"/>
      </w:tblPr>
      <w:tblGrid>
        <w:gridCol w:w="3000"/>
        <w:gridCol w:w="1500"/>
        <w:gridCol w:w="4860"/>
      </w:tblGrid>
      <w:tr>
        <w:trPr>
          <w:tblHeader w:val="true"/>
        </w:trPr>
        <w:tc>
          <w:tcPr>
            <w:tcW w:type="dxa" w:w="30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Acquisition source</w:t>
            </w:r>
          </w:p>
        </w:tc>
        <w:tc>
          <w:tcPr>
            <w:tcW w:type="dxa" w:w="15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Target count</w:t>
            </w:r>
          </w:p>
        </w:tc>
        <w:tc>
          <w:tcPr>
            <w:tcW w:type="dxa" w:w="486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Purpose</w:t>
            </w:r>
          </w:p>
        </w:tc>
      </w:tr>
      <w:tr>
        <w:tc>
          <w:tcPr>
            <w:tcW w:type="dxa" w:w="3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Automatic Rank unlocks</w:t>
            </w:r>
          </w:p>
        </w:tc>
        <w:tc>
          <w:tcPr>
            <w:tcW w:type="dxa" w:w="1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6</w:t>
            </w:r>
          </w:p>
        </w:tc>
        <w:tc>
          <w:tcPr>
            <w:tcW w:type="dxa" w:w="48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Reliable milestones and baseline Host identity</w:t>
            </w:r>
          </w:p>
        </w:tc>
      </w:tr>
      <w:tr>
        <w:tc>
          <w:tcPr>
            <w:tcW w:type="dxa" w:w="30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Dominion tree</w:t>
            </w:r>
          </w:p>
        </w:tc>
        <w:tc>
          <w:tcPr>
            <w:tcW w:type="dxa" w:w="15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6</w:t>
            </w:r>
          </w:p>
        </w:tc>
        <w:tc>
          <w:tcPr>
            <w:tcW w:type="dxa" w:w="48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Stack authority specialization</w:t>
            </w:r>
          </w:p>
        </w:tc>
      </w:tr>
      <w:tr>
        <w:tc>
          <w:tcPr>
            <w:tcW w:type="dxa" w:w="3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Torment tree</w:t>
            </w:r>
          </w:p>
        </w:tc>
        <w:tc>
          <w:tcPr>
            <w:tcW w:type="dxa" w:w="1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6</w:t>
            </w:r>
          </w:p>
        </w:tc>
        <w:tc>
          <w:tcPr>
            <w:tcW w:type="dxa" w:w="48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Choice-and-consequence specialization</w:t>
            </w:r>
          </w:p>
        </w:tc>
      </w:tr>
      <w:tr>
        <w:tc>
          <w:tcPr>
            <w:tcW w:type="dxa" w:w="30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Control tree</w:t>
            </w:r>
          </w:p>
        </w:tc>
        <w:tc>
          <w:tcPr>
            <w:tcW w:type="dxa" w:w="15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6</w:t>
            </w:r>
          </w:p>
        </w:tc>
        <w:tc>
          <w:tcPr>
            <w:tcW w:type="dxa" w:w="48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Battlefield and zone specialization</w:t>
            </w:r>
          </w:p>
        </w:tc>
      </w:tr>
      <w:tr>
        <w:tc>
          <w:tcPr>
            <w:tcW w:type="dxa" w:w="3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Achievements</w:t>
            </w:r>
          </w:p>
        </w:tc>
        <w:tc>
          <w:tcPr>
            <w:tcW w:type="dxa" w:w="15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6</w:t>
            </w:r>
          </w:p>
        </w:tc>
        <w:tc>
          <w:tcPr>
            <w:tcW w:type="dxa" w:w="48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Distinctive rewards for demonstrated Host behaviors</w:t>
            </w:r>
          </w:p>
        </w:tc>
      </w:tr>
    </w:tbl>
    <w:p>
      <w:pPr>
        <w:spacing w:after="0"/>
      </w:pPr>
    </w:p>
    <w:p>
      <w:pPr>
        <w:pStyle w:val="Heading2"/>
      </w:pPr>
      <w:r>
        <w:t>Recommended six-node branch shape</w:t>
      </w:r>
    </w:p>
    <w:tbl>
      <w:tblPr>
        <w:tblStyle w:val="TableGrid"/>
        <w:tblW w:type="dxa" w:w="9360"/>
        <w:jc w:val="left"/>
        <w:tblLayout w:type="fixed"/>
        <w:tblLook w:firstColumn="1" w:firstRow="1" w:lastColumn="0" w:lastRow="0" w:noHBand="0" w:noVBand="1" w:val="04A0"/>
        <w:tblInd w:w="120" w:type="dxa"/>
      </w:tblPr>
      <w:tblGrid>
        <w:gridCol w:w="2000"/>
        <w:gridCol w:w="1000"/>
        <w:gridCol w:w="6360"/>
      </w:tblGrid>
      <w:tr>
        <w:trPr>
          <w:tblHeader w:val="true"/>
        </w:trPr>
        <w:tc>
          <w:tcPr>
            <w:tcW w:type="dxa" w:w="20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Stage</w:t>
            </w:r>
          </w:p>
        </w:tc>
        <w:tc>
          <w:tcPr>
            <w:tcW w:type="dxa" w:w="10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Nodes</w:t>
            </w:r>
          </w:p>
        </w:tc>
        <w:tc>
          <w:tcPr>
            <w:tcW w:type="dxa" w:w="636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Function</w:t>
            </w:r>
          </w:p>
        </w:tc>
      </w:tr>
      <w:tr>
        <w:tc>
          <w:tcPr>
            <w:tcW w:type="dxa" w:w="2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Root</w:t>
            </w:r>
          </w:p>
        </w:tc>
        <w:tc>
          <w:tcPr>
            <w:tcW w:type="dxa" w:w="1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1</w:t>
            </w:r>
          </w:p>
        </w:tc>
        <w:tc>
          <w:tcPr>
            <w:tcW w:type="dxa" w:w="63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Establish the branch's cleanest, most readable play pattern.</w:t>
            </w:r>
          </w:p>
        </w:tc>
      </w:tr>
      <w:tr>
        <w:tc>
          <w:tcPr>
            <w:tcW w:type="dxa" w:w="20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Foundation</w:t>
            </w:r>
          </w:p>
        </w:tc>
        <w:tc>
          <w:tcPr>
            <w:tcW w:type="dxa" w:w="10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1</w:t>
            </w:r>
          </w:p>
        </w:tc>
        <w:tc>
          <w:tcPr>
            <w:tcW w:type="dxa" w:w="63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Deepen the identity without demanding specialization.</w:t>
            </w:r>
          </w:p>
        </w:tc>
      </w:tr>
      <w:tr>
        <w:tc>
          <w:tcPr>
            <w:tcW w:type="dxa" w:w="2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Specialization fork</w:t>
            </w:r>
          </w:p>
        </w:tc>
        <w:tc>
          <w:tcPr>
            <w:tcW w:type="dxa" w:w="1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2</w:t>
            </w:r>
          </w:p>
        </w:tc>
        <w:tc>
          <w:tcPr>
            <w:tcW w:type="dxa" w:w="63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Mutually exclusive A/B choice: two valid ways to express the branch.</w:t>
            </w:r>
          </w:p>
        </w:tc>
      </w:tr>
      <w:tr>
        <w:tc>
          <w:tcPr>
            <w:tcW w:type="dxa" w:w="20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Mastery</w:t>
            </w:r>
          </w:p>
        </w:tc>
        <w:tc>
          <w:tcPr>
            <w:tcW w:type="dxa" w:w="10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1</w:t>
            </w:r>
          </w:p>
        </w:tc>
        <w:tc>
          <w:tcPr>
            <w:tcW w:type="dxa" w:w="63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Reward investment by combining earlier lessons, not raw scaling.</w:t>
            </w:r>
          </w:p>
        </w:tc>
      </w:tr>
      <w:tr>
        <w:tc>
          <w:tcPr>
            <w:tcW w:type="dxa" w:w="2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Capstone</w:t>
            </w:r>
          </w:p>
        </w:tc>
        <w:tc>
          <w:tcPr>
            <w:tcW w:type="dxa" w:w="1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1</w:t>
            </w:r>
          </w:p>
        </w:tc>
        <w:tc>
          <w:tcPr>
            <w:tcW w:type="dxa" w:w="63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8"/>
              </w:rPr>
              <w:t>A signature once-per-encounter moment with high clarity and counterplay.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vAlign w:val="center"/>
          </w:tcPr>
          <w:p>
            <w:pPr>
              <w:spacing w:after="0"/>
            </w:pPr>
            <w:r>
              <w:rPr>
                <w:rFonts w:ascii="Calibri" w:hAnsi="Calibri"/>
                <w:b/>
                <w:i w:val="0"/>
                <w:color w:val="1F355E"/>
                <w:sz w:val="20"/>
              </w:rPr>
              <w:t xml:space="preserve">Important distinction: </w:t>
            </w:r>
            <w:r>
              <w:rPr>
                <w:rFonts w:ascii="Calibri" w:hAnsi="Calibri"/>
                <w:b w:val="0"/>
                <w:i w:val="0"/>
                <w:color w:val="202020"/>
                <w:sz w:val="20"/>
              </w:rPr>
              <w:t>Six nodes are visible in a full branch, but a selected path contains five. Unlocking expands the library; equipping determines the Host's actual run loadout.</w:t>
            </w:r>
          </w:p>
        </w:tc>
      </w:tr>
    </w:tbl>
    <w:p>
      <w:pPr>
        <w:spacing w:after="0"/>
      </w:pPr>
    </w:p>
    <w:p>
      <w:pPr>
        <w:pStyle w:val="Heading2"/>
      </w:pPr>
      <w:r>
        <w:t>Progression pacing principles</w:t>
      </w:r>
    </w:p>
    <w:p>
      <w:pPr>
        <w:pStyle w:val="ListBullet"/>
        <w:spacing w:after="80" w:line="300" w:lineRule="auto"/>
        <w:ind w:left="540" w:hanging="271"/>
      </w:pPr>
      <w:r>
        <w:rPr>
          <w:rFonts w:ascii="Calibri" w:hAnsi="Calibri"/>
          <w:b w:val="0"/>
          <w:i w:val="0"/>
          <w:color w:val="202020"/>
          <w:sz w:val="22"/>
        </w:rPr>
        <w:t>Rank unlocks should be dependable and broadly useful, not branch-defining replacements.</w:t>
      </w:r>
    </w:p>
    <w:p>
      <w:pPr>
        <w:pStyle w:val="ListBullet"/>
        <w:spacing w:after="80" w:line="300" w:lineRule="auto"/>
        <w:ind w:left="540" w:hanging="271"/>
      </w:pPr>
      <w:r>
        <w:rPr>
          <w:rFonts w:ascii="Calibri" w:hAnsi="Calibri"/>
          <w:b w:val="0"/>
          <w:i w:val="0"/>
          <w:color w:val="202020"/>
          <w:sz w:val="22"/>
        </w:rPr>
        <w:t>Skill-tree nodes should provide specialization and replayable loadout decisions.</w:t>
      </w:r>
    </w:p>
    <w:p>
      <w:pPr>
        <w:pStyle w:val="ListBullet"/>
        <w:spacing w:after="80" w:line="300" w:lineRule="auto"/>
        <w:ind w:left="540" w:hanging="271"/>
      </w:pPr>
      <w:r>
        <w:rPr>
          <w:rFonts w:ascii="Calibri" w:hAnsi="Calibri"/>
          <w:b w:val="0"/>
          <w:i w:val="0"/>
          <w:color w:val="202020"/>
          <w:sz w:val="22"/>
        </w:rPr>
        <w:t>Achievement powers should reward recognizable Host accomplishments without becoming mandatory best-in-slot options.</w:t>
      </w:r>
    </w:p>
    <w:p>
      <w:pPr>
        <w:pStyle w:val="ListBullet"/>
        <w:spacing w:after="80" w:line="300" w:lineRule="auto"/>
        <w:ind w:left="540" w:hanging="271"/>
      </w:pPr>
      <w:r>
        <w:rPr>
          <w:rFonts w:ascii="Calibri" w:hAnsi="Calibri"/>
          <w:b w:val="0"/>
          <w:i w:val="0"/>
          <w:color w:val="202020"/>
          <w:sz w:val="22"/>
        </w:rPr>
        <w:t>Respecs should remain free during playtest and occur only outside active or pending-verification runs.</w:t>
      </w:r>
    </w:p>
    <w:p>
      <w:pPr>
        <w:pStyle w:val="ListBullet"/>
        <w:spacing w:after="80" w:line="300" w:lineRule="auto"/>
        <w:ind w:left="540" w:hanging="271"/>
      </w:pPr>
      <w:r>
        <w:rPr>
          <w:rFonts w:ascii="Calibri" w:hAnsi="Calibri"/>
          <w:b w:val="0"/>
          <w:i w:val="0"/>
          <w:color w:val="202020"/>
          <w:sz w:val="22"/>
        </w:rPr>
        <w:t>Tier gates and Talent Point totals remain implementation parameters until the expanded tree is approved.</w:t>
      </w:r>
    </w:p>
    <w:p>
      <w:pPr>
        <w:pStyle w:val="Heading1"/>
      </w:pPr>
      <w:r>
        <w:t>UI and Physical-Object Representation</w:t>
      </w:r>
    </w:p>
    <w:p>
      <w:r>
        <w:t>The progression library and the equipped tabletop tools serve different jobs. The Global interface is best for browsing and allocating a large tree; the physical Host Profile object is best for loadout management and spawning the tools used during play.</w:t>
      </w:r>
    </w:p>
    <w:p>
      <w:pPr>
        <w:pStyle w:val="Heading2"/>
      </w:pPr>
      <w:r>
        <w:t>Global Skill Tree view</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Element</w:t>
            </w:r>
          </w:p>
        </w:tc>
        <w:tc>
          <w:tcPr>
            <w:tcW w:type="dxa" w:w="726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Recommended behavior</w:t>
            </w:r>
          </w:p>
        </w:tc>
      </w:tr>
      <w:tr>
        <w:tc>
          <w:tcPr>
            <w:tcW w:type="dxa" w:w="21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Tabs</w:t>
            </w:r>
          </w:p>
        </w:tc>
        <w:tc>
          <w:tcPr>
            <w:tcW w:type="dxa" w:w="72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All, Rank, Dominion, Torment, Control, and Achievements.</w:t>
            </w:r>
          </w:p>
        </w:tc>
      </w:tr>
      <w:tr>
        <w:tc>
          <w:tcPr>
            <w:tcW w:type="dxa" w:w="21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Tree canvas</w:t>
            </w:r>
          </w:p>
        </w:tc>
        <w:tc>
          <w:tcPr>
            <w:tcW w:type="dxa" w:w="72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Scrollable path area showing prerequisites and specialization forks.</w:t>
            </w:r>
          </w:p>
        </w:tc>
      </w:tr>
      <w:tr>
        <w:tc>
          <w:tcPr>
            <w:tcW w:type="dxa" w:w="21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Node states</w:t>
            </w:r>
          </w:p>
        </w:tc>
        <w:tc>
          <w:tcPr>
            <w:tcW w:type="dxa" w:w="72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Locked, available, purchased, equipped, and inactive/stub.</w:t>
            </w:r>
          </w:p>
        </w:tc>
      </w:tr>
      <w:tr>
        <w:tc>
          <w:tcPr>
            <w:tcW w:type="dxa" w:w="21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Tooltip</w:t>
            </w:r>
          </w:p>
        </w:tc>
        <w:tc>
          <w:tcPr>
            <w:tcW w:type="dxa" w:w="72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Name, branch, timing, Authority cost, limit, concise rules text, prerequisite, and status.</w:t>
            </w:r>
          </w:p>
        </w:tc>
      </w:tr>
      <w:tr>
        <w:tc>
          <w:tcPr>
            <w:tcW w:type="dxa" w:w="21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Detail panel</w:t>
            </w:r>
          </w:p>
        </w:tc>
        <w:tc>
          <w:tcPr>
            <w:tcW w:type="dxa" w:w="72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Full rules text, branch identity rationale, counterplay, tracking method, and equip action.</w:t>
            </w:r>
          </w:p>
        </w:tc>
      </w:tr>
      <w:tr>
        <w:tc>
          <w:tcPr>
            <w:tcW w:type="dxa" w:w="21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Input safety</w:t>
            </w:r>
          </w:p>
        </w:tc>
        <w:tc>
          <w:tcPr>
            <w:tcW w:type="dxa" w:w="72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9"/>
              </w:rPr>
              <w:t>The panel must block click-through to tabletop objects and open in a consistent screen-space orientation.</w:t>
            </w:r>
          </w:p>
        </w:tc>
      </w:tr>
    </w:tbl>
    <w:p>
      <w:pPr>
        <w:spacing w:after="0"/>
      </w:pPr>
    </w:p>
    <w:p>
      <w:pPr>
        <w:pStyle w:val="Heading2"/>
      </w:pPr>
      <w:r>
        <w:t>Host Profile Command page</w:t>
      </w:r>
    </w:p>
    <w:p>
      <w:pPr>
        <w:pStyle w:val="ListBullet"/>
        <w:spacing w:after="80" w:line="300" w:lineRule="auto"/>
        <w:ind w:left="540" w:hanging="271"/>
      </w:pPr>
      <w:r>
        <w:rPr>
          <w:rFonts w:ascii="Calibri" w:hAnsi="Calibri"/>
          <w:b w:val="0"/>
          <w:i w:val="0"/>
          <w:color w:val="202020"/>
          <w:sz w:val="22"/>
        </w:rPr>
        <w:t>Mirror the Player Profile Essence page's proven interaction pattern and visual hierarchy.</w:t>
      </w:r>
    </w:p>
    <w:p>
      <w:pPr>
        <w:pStyle w:val="ListBullet"/>
        <w:spacing w:after="80" w:line="300" w:lineRule="auto"/>
        <w:ind w:left="540" w:hanging="271"/>
      </w:pPr>
      <w:r>
        <w:rPr>
          <w:rFonts w:ascii="Calibri" w:hAnsi="Calibri"/>
          <w:b w:val="0"/>
          <w:i w:val="0"/>
          <w:color w:val="202020"/>
          <w:sz w:val="22"/>
        </w:rPr>
        <w:t>Show the unlocked Command library in compact pages, with six options per page as the initial target.</w:t>
      </w:r>
    </w:p>
    <w:p>
      <w:pPr>
        <w:pStyle w:val="ListBullet"/>
        <w:spacing w:after="80" w:line="300" w:lineRule="auto"/>
        <w:ind w:left="540" w:hanging="271"/>
      </w:pPr>
      <w:r>
        <w:rPr>
          <w:rFonts w:ascii="Calibri" w:hAnsi="Calibri"/>
          <w:b w:val="0"/>
          <w:i w:val="0"/>
          <w:color w:val="202020"/>
          <w:sz w:val="22"/>
        </w:rPr>
        <w:t>Keep a persistent equipped row showing the Host's legal slots and current loadout.</w:t>
      </w:r>
    </w:p>
    <w:p>
      <w:pPr>
        <w:pStyle w:val="ListBullet"/>
        <w:spacing w:after="80" w:line="300" w:lineRule="auto"/>
        <w:ind w:left="540" w:hanging="271"/>
      </w:pPr>
      <w:r>
        <w:rPr>
          <w:rFonts w:ascii="Calibri" w:hAnsi="Calibri"/>
          <w:b w:val="0"/>
          <w:i w:val="0"/>
          <w:color w:val="202020"/>
          <w:sz w:val="22"/>
        </w:rPr>
        <w:t>Selecting a Command should expose its full rules text before equipping or replacing a slot.</w:t>
      </w:r>
    </w:p>
    <w:p>
      <w:pPr>
        <w:pStyle w:val="ListBullet"/>
        <w:spacing w:after="80" w:line="300" w:lineRule="auto"/>
        <w:ind w:left="540" w:hanging="271"/>
      </w:pPr>
      <w:r>
        <w:rPr>
          <w:rFonts w:ascii="Calibri" w:hAnsi="Calibri"/>
          <w:b w:val="0"/>
          <w:i w:val="0"/>
          <w:color w:val="202020"/>
          <w:sz w:val="22"/>
        </w:rPr>
        <w:t>Each equipped Command can spawn its associated physical tool from an infinite bag, matching the Player Buff token pattern.</w:t>
      </w:r>
    </w:p>
    <w:p>
      <w:pPr>
        <w:pStyle w:val="ListBullet"/>
        <w:spacing w:after="80" w:line="300" w:lineRule="auto"/>
        <w:ind w:left="540" w:hanging="271"/>
      </w:pPr>
      <w:r>
        <w:rPr>
          <w:rFonts w:ascii="Calibri" w:hAnsi="Calibri"/>
          <w:b w:val="0"/>
          <w:i w:val="0"/>
          <w:color w:val="202020"/>
          <w:sz w:val="22"/>
        </w:rPr>
        <w:t>Until custom Command cards exist, token metadata and bag asset references should be treated as managed placeholders.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i w:val="0"/>
                <w:color w:val="1F355E"/>
                <w:sz w:val="20"/>
              </w:rPr>
              <w:t xml:space="preserve">Separation of responsibilities: </w:t>
            </w:r>
            <w:r>
              <w:rPr>
                <w:rFonts w:ascii="Calibri" w:hAnsi="Calibri"/>
                <w:b w:val="0"/>
                <w:i w:val="0"/>
                <w:color w:val="202020"/>
                <w:sz w:val="20"/>
              </w:rPr>
              <w:t>Global UI answers 'What can I learn?' The Host Profile object answers 'What will I bring, and what physical tools do I need now?'</w:t>
            </w:r>
          </w:p>
        </w:tc>
      </w:tr>
    </w:tbl>
    <w:p>
      <w:pPr>
        <w:spacing w:after="0"/>
      </w:pPr>
    </w:p>
    <w:p>
      <w:r>
        <w:br w:type="page"/>
      </w:r>
    </w:p>
    <w:p>
      <w:pPr>
        <w:spacing w:after="0" w:line="240" w:lineRule="auto"/>
      </w:pPr>
      <w:r>
        <w:rPr>
          <w:rFonts w:ascii="Calibri" w:hAnsi="Calibri"/>
          <w:b w:val="0"/>
          <w:i w:val="0"/>
          <w:color w:val="FFFFFF"/>
          <w:sz w:val="6"/>
        </w:rPr>
        <w:t xml:space="preserve"> </w:t>
      </w:r>
    </w:p>
    <w:p>
      <w:pPr>
        <w:pStyle w:val="Heading1"/>
      </w:pPr>
      <w:r>
        <w:t>Command Proposal Template</w:t>
      </w:r>
    </w:p>
    <w:p>
      <w:r>
        <w:t>Copy this structure for each new dev-team proposal. Keep the rules text short enough to resolve at the table, but make the review fields explicit.</w:t>
      </w:r>
    </w:p>
    <w:p>
      <w:pPr>
        <w:spacing w:after="120"/>
      </w:pPr>
      <w:r>
        <w:rPr>
          <w:rFonts w:ascii="Calibri" w:hAnsi="Calibri"/>
          <w:b/>
          <w:i w:val="0"/>
          <w:color w:val="1F355E"/>
          <w:sz w:val="22"/>
        </w:rPr>
        <w:t xml:space="preserve">Name: </w:t>
      </w:r>
      <w:r>
        <w:rPr>
          <w:rFonts w:ascii="Calibri" w:hAnsi="Calibri"/>
          <w:b w:val="0"/>
          <w:i w:val="0"/>
          <w:color w:val="202020"/>
          <w:sz w:val="22"/>
        </w:rPr>
        <w:t>Short, memorable, and consistent with the branch fantasy.</w:t>
      </w:r>
    </w:p>
    <w:p>
      <w:pPr>
        <w:spacing w:after="120"/>
      </w:pPr>
      <w:r>
        <w:rPr>
          <w:rFonts w:ascii="Calibri" w:hAnsi="Calibri"/>
          <w:b/>
          <w:i w:val="0"/>
          <w:color w:val="1F355E"/>
          <w:sz w:val="22"/>
        </w:rPr>
        <w:t xml:space="preserve">Branch and intended node: </w:t>
      </w:r>
      <w:r>
        <w:rPr>
          <w:rFonts w:ascii="Calibri" w:hAnsi="Calibri"/>
          <w:b w:val="0"/>
          <w:i w:val="0"/>
          <w:color w:val="202020"/>
          <w:sz w:val="22"/>
        </w:rPr>
        <w:t>Dominion, Torment, or Control; include root, foundation, fork, mastery, or capstone.</w:t>
      </w:r>
    </w:p>
    <w:p>
      <w:pPr>
        <w:spacing w:after="120"/>
      </w:pPr>
      <w:r>
        <w:rPr>
          <w:rFonts w:ascii="Calibri" w:hAnsi="Calibri"/>
          <w:b/>
          <w:i w:val="0"/>
          <w:color w:val="1F355E"/>
          <w:sz w:val="22"/>
        </w:rPr>
        <w:t xml:space="preserve">Fantasy sentence: </w:t>
      </w:r>
      <w:r>
        <w:rPr>
          <w:rFonts w:ascii="Calibri" w:hAnsi="Calibri"/>
          <w:b w:val="0"/>
          <w:i w:val="0"/>
          <w:color w:val="202020"/>
          <w:sz w:val="22"/>
        </w:rPr>
        <w:t>What the Host appears to do in the fiction of the encounter.</w:t>
      </w:r>
    </w:p>
    <w:p>
      <w:pPr>
        <w:spacing w:after="120"/>
      </w:pPr>
      <w:r>
        <w:rPr>
          <w:rFonts w:ascii="Calibri" w:hAnsi="Calibri"/>
          <w:b/>
          <w:i w:val="0"/>
          <w:color w:val="1F355E"/>
          <w:sz w:val="22"/>
        </w:rPr>
        <w:t xml:space="preserve">Timing: </w:t>
      </w:r>
      <w:r>
        <w:rPr>
          <w:rFonts w:ascii="Calibri" w:hAnsi="Calibri"/>
          <w:b w:val="0"/>
          <w:i w:val="0"/>
          <w:color w:val="202020"/>
          <w:sz w:val="22"/>
        </w:rPr>
        <w:t>Priority action or exact reaction window.</w:t>
      </w:r>
    </w:p>
    <w:p>
      <w:pPr>
        <w:spacing w:after="120"/>
      </w:pPr>
      <w:r>
        <w:rPr>
          <w:rFonts w:ascii="Calibri" w:hAnsi="Calibri"/>
          <w:b/>
          <w:i w:val="0"/>
          <w:color w:val="1F355E"/>
          <w:sz w:val="22"/>
        </w:rPr>
        <w:t xml:space="preserve">Cost and limit: </w:t>
      </w:r>
      <w:r>
        <w:rPr>
          <w:rFonts w:ascii="Calibri" w:hAnsi="Calibri"/>
          <w:b w:val="0"/>
          <w:i w:val="0"/>
          <w:color w:val="202020"/>
          <w:sz w:val="22"/>
        </w:rPr>
        <w:t>Normally 1 Authority and once per encounter.</w:t>
      </w:r>
    </w:p>
    <w:p>
      <w:pPr>
        <w:spacing w:after="120"/>
      </w:pPr>
      <w:r>
        <w:rPr>
          <w:rFonts w:ascii="Calibri" w:hAnsi="Calibri"/>
          <w:b/>
          <w:i w:val="0"/>
          <w:color w:val="1F355E"/>
          <w:sz w:val="22"/>
        </w:rPr>
        <w:t xml:space="preserve">Rules text: </w:t>
      </w:r>
      <w:r>
        <w:rPr>
          <w:rFonts w:ascii="Calibri" w:hAnsi="Calibri"/>
          <w:b w:val="0"/>
          <w:i w:val="0"/>
          <w:color w:val="202020"/>
          <w:sz w:val="22"/>
        </w:rPr>
        <w:t>Targets, choices, duration, and all zone changes.</w:t>
      </w:r>
    </w:p>
    <w:p>
      <w:pPr>
        <w:spacing w:after="120"/>
      </w:pPr>
      <w:r>
        <w:rPr>
          <w:rFonts w:ascii="Calibri" w:hAnsi="Calibri"/>
          <w:b/>
          <w:i w:val="0"/>
          <w:color w:val="1F355E"/>
          <w:sz w:val="22"/>
        </w:rPr>
        <w:t xml:space="preserve">Branch identity test: </w:t>
      </w:r>
      <w:r>
        <w:rPr>
          <w:rFonts w:ascii="Calibri" w:hAnsi="Calibri"/>
          <w:b w:val="0"/>
          <w:i w:val="0"/>
          <w:color w:val="202020"/>
          <w:sz w:val="22"/>
        </w:rPr>
        <w:t>One sentence explaining why the primary job belongs in this branch.</w:t>
      </w:r>
    </w:p>
    <w:p>
      <w:pPr>
        <w:spacing w:after="120"/>
      </w:pPr>
      <w:r>
        <w:rPr>
          <w:rFonts w:ascii="Calibri" w:hAnsi="Calibri"/>
          <w:b/>
          <w:i w:val="0"/>
          <w:color w:val="1F355E"/>
          <w:sz w:val="22"/>
        </w:rPr>
        <w:t xml:space="preserve">Counterplay: </w:t>
      </w:r>
      <w:r>
        <w:rPr>
          <w:rFonts w:ascii="Calibri" w:hAnsi="Calibri"/>
          <w:b w:val="0"/>
          <w:i w:val="0"/>
          <w:color w:val="202020"/>
          <w:sz w:val="22"/>
        </w:rPr>
        <w:t>How players can anticipate, answer, mitigate, or wait out the effect.</w:t>
      </w:r>
    </w:p>
    <w:p>
      <w:pPr>
        <w:spacing w:after="120"/>
      </w:pPr>
      <w:r>
        <w:rPr>
          <w:rFonts w:ascii="Calibri" w:hAnsi="Calibri"/>
          <w:b/>
          <w:i w:val="0"/>
          <w:color w:val="1F355E"/>
          <w:sz w:val="22"/>
        </w:rPr>
        <w:t xml:space="preserve">Tracking: </w:t>
      </w:r>
      <w:r>
        <w:rPr>
          <w:rFonts w:ascii="Calibri" w:hAnsi="Calibri"/>
          <w:b w:val="0"/>
          <w:i w:val="0"/>
          <w:color w:val="202020"/>
          <w:sz w:val="22"/>
        </w:rPr>
        <w:t>Token, marker, card, or no persistent tracking.</w:t>
      </w:r>
    </w:p>
    <w:p>
      <w:pPr>
        <w:spacing w:after="120"/>
      </w:pPr>
      <w:r>
        <w:rPr>
          <w:rFonts w:ascii="Calibri" w:hAnsi="Calibri"/>
          <w:b/>
          <w:i w:val="0"/>
          <w:color w:val="1F355E"/>
          <w:sz w:val="22"/>
        </w:rPr>
        <w:t xml:space="preserve">Abuse check: </w:t>
      </w:r>
      <w:r>
        <w:rPr>
          <w:rFonts w:ascii="Calibri" w:hAnsi="Calibri"/>
          <w:b w:val="0"/>
          <w:i w:val="0"/>
          <w:color w:val="202020"/>
          <w:sz w:val="22"/>
        </w:rPr>
        <w:t>Strongest likely interaction and why it remains acceptable.</w:t>
      </w:r>
    </w:p>
    <w:p>
      <w:pPr>
        <w:pStyle w:val="Heading2"/>
      </w:pPr>
      <w:r>
        <w:t>Review scorecard</w:t>
      </w:r>
    </w:p>
    <w:tbl>
      <w:tblPr>
        <w:tblStyle w:val="TableGrid"/>
        <w:tblW w:type="dxa" w:w="9360"/>
        <w:jc w:val="left"/>
        <w:tblLayout w:type="fixed"/>
        <w:tblLook w:firstColumn="1" w:firstRow="1" w:lastColumn="0" w:lastRow="0" w:noHBand="0" w:noVBand="1" w:val="04A0"/>
        <w:tblInd w:w="120" w:type="dxa"/>
      </w:tblPr>
      <w:tblGrid>
        <w:gridCol w:w="2000"/>
        <w:gridCol w:w="2450"/>
        <w:gridCol w:w="2450"/>
        <w:gridCol w:w="2460"/>
      </w:tblGrid>
      <w:tr>
        <w:trPr>
          <w:tblHeader w:val="true"/>
        </w:trPr>
        <w:tc>
          <w:tcPr>
            <w:tcW w:type="dxa" w:w="200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Criterion</w:t>
            </w:r>
          </w:p>
        </w:tc>
        <w:tc>
          <w:tcPr>
            <w:tcW w:type="dxa" w:w="245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1 - Revise</w:t>
            </w:r>
          </w:p>
        </w:tc>
        <w:tc>
          <w:tcPr>
            <w:tcW w:type="dxa" w:w="245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3 - Workable</w:t>
            </w:r>
          </w:p>
        </w:tc>
        <w:tc>
          <w:tcPr>
            <w:tcW w:type="dxa" w:w="2460"/>
            <w:shd w:fill="1F355E"/>
            <w:tcMar>
              <w:top w:w="80" w:type="dxa"/>
              <w:start w:w="120" w:type="dxa"/>
              <w:bottom w:w="80" w:type="dxa"/>
              <w:end w:w="120" w:type="dxa"/>
            </w:tcMar>
            <w:vAlign w:val="center"/>
          </w:tcPr>
          <w:p>
            <w:pPr>
              <w:spacing w:after="0" w:line="264" w:lineRule="auto"/>
              <w:jc w:val="center"/>
            </w:pPr>
            <w:r/>
            <w:r>
              <w:rPr>
                <w:rFonts w:ascii="Calibri" w:hAnsi="Calibri"/>
                <w:b/>
                <w:i w:val="0"/>
                <w:color w:val="FFFFFF"/>
                <w:sz w:val="18"/>
              </w:rPr>
              <w:t>5 - Strong</w:t>
            </w:r>
          </w:p>
        </w:tc>
      </w:tr>
      <w:tr>
        <w:tc>
          <w:tcPr>
            <w:tcW w:type="dxa" w:w="2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Branch identity</w:t>
            </w:r>
          </w:p>
        </w:tc>
        <w:tc>
          <w:tcPr>
            <w:tcW w:type="dxa" w:w="245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Could fit anywhere</w:t>
            </w:r>
          </w:p>
        </w:tc>
        <w:tc>
          <w:tcPr>
            <w:tcW w:type="dxa" w:w="245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Mostly fits</w:t>
            </w:r>
          </w:p>
        </w:tc>
        <w:tc>
          <w:tcPr>
            <w:tcW w:type="dxa" w:w="24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Could only belong here</w:t>
            </w:r>
          </w:p>
        </w:tc>
      </w:tr>
      <w:tr>
        <w:tc>
          <w:tcPr>
            <w:tcW w:type="dxa" w:w="20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Player agency</w:t>
            </w:r>
          </w:p>
        </w:tc>
        <w:tc>
          <w:tcPr>
            <w:tcW w:type="dxa" w:w="245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No practical response</w:t>
            </w:r>
          </w:p>
        </w:tc>
        <w:tc>
          <w:tcPr>
            <w:tcW w:type="dxa" w:w="245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Some mitigation</w:t>
            </w:r>
          </w:p>
        </w:tc>
        <w:tc>
          <w:tcPr>
            <w:tcW w:type="dxa" w:w="24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Multiple meaningful lines</w:t>
            </w:r>
          </w:p>
        </w:tc>
      </w:tr>
      <w:tr>
        <w:tc>
          <w:tcPr>
            <w:tcW w:type="dxa" w:w="2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Clarity</w:t>
            </w:r>
          </w:p>
        </w:tc>
        <w:tc>
          <w:tcPr>
            <w:tcW w:type="dxa" w:w="245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Hidden or ambiguous</w:t>
            </w:r>
          </w:p>
        </w:tc>
        <w:tc>
          <w:tcPr>
            <w:tcW w:type="dxa" w:w="245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Resolvable with care</w:t>
            </w:r>
          </w:p>
        </w:tc>
        <w:tc>
          <w:tcPr>
            <w:tcW w:type="dxa" w:w="24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Immediate and obvious</w:t>
            </w:r>
          </w:p>
        </w:tc>
      </w:tr>
      <w:tr>
        <w:tc>
          <w:tcPr>
            <w:tcW w:type="dxa" w:w="20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Tracking burden</w:t>
            </w:r>
          </w:p>
        </w:tc>
        <w:tc>
          <w:tcPr>
            <w:tcW w:type="dxa" w:w="245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Private/repeated notes</w:t>
            </w:r>
          </w:p>
        </w:tc>
        <w:tc>
          <w:tcPr>
            <w:tcW w:type="dxa" w:w="245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One persistent reminder</w:t>
            </w:r>
          </w:p>
        </w:tc>
        <w:tc>
          <w:tcPr>
            <w:tcW w:type="dxa" w:w="24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No tracking or clear token</w:t>
            </w:r>
          </w:p>
        </w:tc>
      </w:tr>
      <w:tr>
        <w:tc>
          <w:tcPr>
            <w:tcW w:type="dxa" w:w="200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Resolution speed</w:t>
            </w:r>
          </w:p>
        </w:tc>
        <w:tc>
          <w:tcPr>
            <w:tcW w:type="dxa" w:w="245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Slower than the answered play</w:t>
            </w:r>
          </w:p>
        </w:tc>
        <w:tc>
          <w:tcPr>
            <w:tcW w:type="dxa" w:w="245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Acceptable</w:t>
            </w:r>
          </w:p>
        </w:tc>
        <w:tc>
          <w:tcPr>
            <w:tcW w:type="dxa" w:w="2460"/>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Fast and decisive</w:t>
            </w:r>
          </w:p>
        </w:tc>
      </w:tr>
      <w:tr>
        <w:tc>
          <w:tcPr>
            <w:tcW w:type="dxa" w:w="200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Abuse risk</w:t>
            </w:r>
          </w:p>
        </w:tc>
        <w:tc>
          <w:tcPr>
            <w:tcW w:type="dxa" w:w="245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Creates lock or loop</w:t>
            </w:r>
          </w:p>
        </w:tc>
        <w:tc>
          <w:tcPr>
            <w:tcW w:type="dxa" w:w="245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Bounded edge cases</w:t>
            </w:r>
          </w:p>
        </w:tc>
        <w:tc>
          <w:tcPr>
            <w:tcW w:type="dxa" w:w="2460"/>
            <w:shd w:fill="F6F8FA"/>
            <w:tcMar>
              <w:top w:w="80" w:type="dxa"/>
              <w:start w:w="120" w:type="dxa"/>
              <w:bottom w:w="80" w:type="dxa"/>
              <w:end w:w="120" w:type="dxa"/>
            </w:tcMar>
            <w:vAlign w:val="center"/>
          </w:tcPr>
          <w:p>
            <w:pPr>
              <w:spacing w:after="0" w:line="264" w:lineRule="auto"/>
              <w:jc w:val="left"/>
            </w:pPr>
            <w:r/>
            <w:r>
              <w:rPr>
                <w:rFonts w:ascii="Calibri" w:hAnsi="Calibri"/>
                <w:b w:val="0"/>
                <w:i w:val="0"/>
                <w:color w:val="202020"/>
                <w:sz w:val="17"/>
              </w:rPr>
              <w:t>Naturally self-limiting</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2F0D9"/>
            <w:tcMar>
              <w:top w:w="80" w:type="dxa"/>
              <w:start w:w="120" w:type="dxa"/>
              <w:bottom w:w="80" w:type="dxa"/>
              <w:end w:w="120" w:type="dxa"/>
            </w:tcMar>
            <w:vAlign w:val="center"/>
          </w:tcPr>
          <w:p>
            <w:pPr>
              <w:spacing w:after="0"/>
            </w:pPr>
            <w:r>
              <w:rPr>
                <w:rFonts w:ascii="Calibri" w:hAnsi="Calibri"/>
                <w:b/>
                <w:i w:val="0"/>
                <w:color w:val="1F355E"/>
                <w:sz w:val="20"/>
              </w:rPr>
              <w:t xml:space="preserve">Suggested gate: </w:t>
            </w:r>
            <w:r>
              <w:rPr>
                <w:rFonts w:ascii="Calibri" w:hAnsi="Calibri"/>
                <w:b w:val="0"/>
                <w:i w:val="0"/>
                <w:color w:val="202020"/>
                <w:sz w:val="20"/>
              </w:rPr>
              <w:t>Advance a proposal only when no criterion scores 1 and the design team can state its branch identity and player counterplay in one sentence each.</w:t>
            </w:r>
          </w:p>
        </w:tc>
      </w:tr>
    </w:tbl>
    <w:p>
      <w:pPr>
        <w:spacing w:after="0"/>
      </w:pPr>
    </w:p>
    <w:p>
      <w:r>
        <w:br w:type="page"/>
      </w:r>
    </w:p>
    <w:p>
      <w:pPr>
        <w:spacing w:after="0" w:line="240" w:lineRule="auto"/>
      </w:pPr>
      <w:r>
        <w:rPr>
          <w:rFonts w:ascii="Calibri" w:hAnsi="Calibri"/>
          <w:b w:val="0"/>
          <w:i w:val="0"/>
          <w:color w:val="FFFFFF"/>
          <w:sz w:val="6"/>
        </w:rPr>
        <w:t xml:space="preserve"> </w:t>
      </w:r>
    </w:p>
    <w:p>
      <w:pPr>
        <w:pStyle w:val="Heading1"/>
      </w:pPr>
      <w:r>
        <w:t>Reference Inspirations</w:t>
      </w:r>
    </w:p>
    <w:p>
      <w:r>
        <w:t>These systems are useful as structural references, not as direct mechanical templates. MTGR's interface and progression must remain readable inside Tabletop Simulator and subordinate to the shared multiplayer experience.</w:t>
      </w:r>
    </w:p>
    <w:p>
      <w:pPr>
        <w:pStyle w:val="ListBullet"/>
        <w:spacing w:after="120"/>
        <w:ind w:left="540" w:hanging="271"/>
      </w:pPr>
      <w:hyperlink r:id="rId11">
        <w:r>
          <w:rPr>
            <w:color w:val="2E74B5"/>
            <w:u w:val="single"/>
          </w:rPr>
          <w:t>Total War character skills</w:t>
        </w:r>
      </w:hyperlink>
      <w:r>
        <w:rPr>
          <w:rFonts w:ascii="Calibri" w:hAnsi="Calibri"/>
          <w:b w:val="0"/>
          <w:i w:val="0"/>
          <w:color w:val="202020"/>
          <w:sz w:val="21"/>
        </w:rPr>
        <w:t xml:space="preserve"> - Linear prerequisites, visible tiers, and meaningful specialization lanes.</w:t>
      </w:r>
    </w:p>
    <w:p>
      <w:pPr>
        <w:pStyle w:val="ListBullet"/>
        <w:spacing w:after="120"/>
        <w:ind w:left="540" w:hanging="271"/>
      </w:pPr>
      <w:hyperlink r:id="rId12">
        <w:r>
          <w:rPr>
            <w:color w:val="2E74B5"/>
            <w:u w:val="single"/>
          </w:rPr>
          <w:t>Total War campaign technologies</w:t>
        </w:r>
      </w:hyperlink>
      <w:r>
        <w:rPr>
          <w:rFonts w:ascii="Calibri" w:hAnsi="Calibri"/>
          <w:b w:val="0"/>
          <w:i w:val="0"/>
          <w:color w:val="202020"/>
          <w:sz w:val="21"/>
        </w:rPr>
        <w:t xml:space="preserve"> - Tabbed research categories and long-term progression maps.</w:t>
      </w:r>
    </w:p>
    <w:p>
      <w:pPr>
        <w:pStyle w:val="ListBullet"/>
        <w:spacing w:after="120"/>
        <w:ind w:left="540" w:hanging="271"/>
      </w:pPr>
      <w:hyperlink r:id="rId13">
        <w:r>
          <w:rPr>
            <w:color w:val="2E74B5"/>
            <w:u w:val="single"/>
          </w:rPr>
          <w:t>Final Fantasy XIV job guide</w:t>
        </w:r>
      </w:hyperlink>
      <w:r>
        <w:rPr>
          <w:rFonts w:ascii="Calibri" w:hAnsi="Calibri"/>
          <w:b w:val="0"/>
          <w:i w:val="0"/>
          <w:color w:val="202020"/>
          <w:sz w:val="21"/>
        </w:rPr>
        <w:t xml:space="preserve"> - Clear presentation of an expanding action library and role identity.</w:t>
      </w:r>
    </w:p>
    <w:p>
      <w:pPr>
        <w:pStyle w:val="ListBullet"/>
        <w:spacing w:after="120"/>
        <w:ind w:left="540" w:hanging="271"/>
      </w:pPr>
      <w:hyperlink r:id="rId14">
        <w:r>
          <w:rPr>
            <w:color w:val="2E74B5"/>
            <w:u w:val="single"/>
          </w:rPr>
          <w:t>Final Fantasy XII: The Zodiac Age</w:t>
        </w:r>
      </w:hyperlink>
      <w:r>
        <w:rPr>
          <w:rFonts w:ascii="Calibri" w:hAnsi="Calibri"/>
          <w:b w:val="0"/>
          <w:i w:val="0"/>
          <w:color w:val="202020"/>
          <w:sz w:val="21"/>
        </w:rPr>
        <w:t xml:space="preserve"> - License-board style unlock planning and specialization.</w:t>
      </w:r>
    </w:p>
    <w:p>
      <w:pPr>
        <w:pStyle w:val="ListBullet"/>
        <w:spacing w:after="120"/>
        <w:ind w:left="540" w:hanging="271"/>
      </w:pPr>
      <w:hyperlink r:id="rId15">
        <w:r>
          <w:rPr>
            <w:color w:val="2E74B5"/>
            <w:u w:val="single"/>
          </w:rPr>
          <w:t>The Elder Scrolls progression overview</w:t>
        </w:r>
      </w:hyperlink>
      <w:r>
        <w:rPr>
          <w:rFonts w:ascii="Calibri" w:hAnsi="Calibri"/>
          <w:b w:val="0"/>
          <w:i w:val="0"/>
          <w:color w:val="202020"/>
          <w:sz w:val="21"/>
        </w:rPr>
        <w:t xml:space="preserve"> - Skill identity reinforced through use, specialization, and readable advancement.</w:t>
      </w:r>
    </w:p>
    <w:p>
      <w:pPr>
        <w:pStyle w:val="Heading2"/>
      </w:pPr>
      <w:r>
        <w:t>Canonical MTGR rules used</w:t>
      </w:r>
    </w:p>
    <w:p>
      <w:pPr>
        <w:pStyle w:val="ListBullet"/>
        <w:spacing w:after="80" w:line="300" w:lineRule="auto"/>
        <w:ind w:left="540" w:hanging="271"/>
      </w:pPr>
      <w:r>
        <w:rPr>
          <w:rFonts w:ascii="Calibri" w:hAnsi="Calibri"/>
          <w:b w:val="0"/>
          <w:i w:val="0"/>
          <w:color w:val="202020"/>
          <w:sz w:val="22"/>
        </w:rPr>
        <w:t>Host Skill Tree: branch identities, current node skeleton, shared guardrails, and expansion shape.</w:t>
      </w:r>
    </w:p>
    <w:p>
      <w:pPr>
        <w:pStyle w:val="ListBullet"/>
        <w:spacing w:after="80" w:line="300" w:lineRule="auto"/>
        <w:ind w:left="540" w:hanging="271"/>
      </w:pPr>
      <w:r>
        <w:rPr>
          <w:rFonts w:ascii="Calibri" w:hAnsi="Calibri"/>
          <w:b w:val="0"/>
          <w:i w:val="0"/>
          <w:color w:val="202020"/>
          <w:sz w:val="22"/>
        </w:rPr>
        <w:t>Host Commands: current starter and skill-tree Command rules text.</w:t>
      </w:r>
    </w:p>
    <w:p>
      <w:pPr>
        <w:pStyle w:val="ListBullet"/>
        <w:spacing w:after="80" w:line="300" w:lineRule="auto"/>
        <w:ind w:left="540" w:hanging="271"/>
      </w:pPr>
      <w:r>
        <w:rPr>
          <w:rFonts w:ascii="Calibri" w:hAnsi="Calibri"/>
          <w:b w:val="0"/>
          <w:i w:val="0"/>
          <w:color w:val="202020"/>
          <w:sz w:val="22"/>
        </w:rPr>
        <w:t>Host Profile Progression: Rank milestones, HXP, Talent Points, and sidegrade-only progression policy.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vAlign w:val="center"/>
          </w:tcPr>
          <w:p>
            <w:pPr>
              <w:spacing w:after="0"/>
            </w:pPr>
            <w:r>
              <w:rPr>
                <w:rFonts w:ascii="Calibri" w:hAnsi="Calibri"/>
                <w:b/>
                <w:i w:val="0"/>
                <w:color w:val="1F355E"/>
                <w:sz w:val="20"/>
              </w:rPr>
              <w:t xml:space="preserve">Next design session: </w:t>
            </w:r>
            <w:r>
              <w:rPr>
                <w:rFonts w:ascii="Calibri" w:hAnsi="Calibri"/>
                <w:b w:val="0"/>
                <w:i w:val="0"/>
                <w:color w:val="202020"/>
                <w:sz w:val="20"/>
              </w:rPr>
              <w:t>Draft two candidate Commands per branch: one foundation/fork-level option and one mastery/capstone concept. Score them with this guide before assigning final numbers or implementation work.</w:t>
            </w:r>
          </w:p>
        </w:tc>
      </w:tr>
    </w:tbl>
    <w:p>
      <w:pPr>
        <w:spacing w:after="0"/>
      </w:pPr>
    </w:p>
    <w:sectPr w:rsidR="00FC693F" w:rsidRPr="0006063C" w:rsidSect="00034616">
      <w:headerReference w:type="default" r:id="rId9"/>
      <w:footerReference w:type="default" r:id="rId10"/>
      <w:pgSz w:w="12240" w:h="15840"/>
      <w:pgMar w:top="1123" w:right="1440" w:bottom="1037"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7"/>
      </w:rPr>
      <w:t xml:space="preserve">MTGR  |  Playtest Design Draft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6666"/>
        <w:sz w:val="17"/>
      </w:rPr>
      <w:t>MTGR HOST PROGRESSION  |  COMMAND BRANCH DESIGN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5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2enc.totalwar.com/en/manual/single-player/0051_enc_page_campaign_play_characters_skills/" TargetMode="External"/><Relationship Id="rId12" Type="http://schemas.openxmlformats.org/officeDocument/2006/relationships/hyperlink" Target="https://academy.totalwar.com/campaign-technologies/" TargetMode="External"/><Relationship Id="rId13" Type="http://schemas.openxmlformats.org/officeDocument/2006/relationships/hyperlink" Target="https://na.finalfantasyxiv.com/jobguide/dragoon" TargetMode="External"/><Relationship Id="rId14" Type="http://schemas.openxmlformats.org/officeDocument/2006/relationships/hyperlink" Target="https://www.square-enix-games.com/en_GB/home/final-fantasy-xii-the-zodiac-age-pc-ps4-update" TargetMode="External"/><Relationship Id="rId15" Type="http://schemas.openxmlformats.org/officeDocument/2006/relationships/hyperlink" Target="https://help.bethesda.net/app/answers/detail/a_id/7821/~/how-do-i-increase-my-skills-in-the-elder-scrolls-online%3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MTGR Host Command Branch Design Guide V0.1</dc:title>
  <dc:subject>Host progression Command branch philosophy and design framework</dc:subject>
  <dc:creator>MTGR Development Team</dc:creator>
  <cp:keywords>MTGR, Host, Commands, Dominion, Torment, Control, Skill Tree</cp:keywords>
  <dc:description>generated by python-docx</dc:description>
  <cp:lastModifiedBy/>
  <cp:revision>1</cp:revision>
  <dcterms:created xsi:type="dcterms:W3CDTF">2013-12-23T23:15:00Z</dcterms:created>
  <dcterms:modified xsi:type="dcterms:W3CDTF">2013-12-23T23:15:00Z</dcterms:modified>
  <cp:category/>
</cp:coreProperties>
</file>