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available</w:t>
            </w:r>
          </w:p>
        </w:tc>
        <w:tc>
          <w:tcPr>
            <w:tcW w:type="dxa" w:w="1728"/>
          </w:tcPr>
          <w:p>
            <w:r>
              <w:t>percent</w:t>
            </w:r>
          </w:p>
        </w:tc>
        <w:tc>
          <w:tcPr>
            <w:tcW w:type="dxa" w:w="1728"/>
          </w:tcPr>
          <w:p>
            <w:r>
              <w:t>used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</w:tr>
      <w:tr>
        <w:tc>
          <w:tcPr>
            <w:tcW w:type="dxa" w:w="1728"/>
          </w:tcPr>
          <w:p>
            <w:r>
              <w:t>16290.6875M</w:t>
            </w:r>
          </w:p>
        </w:tc>
        <w:tc>
          <w:tcPr>
            <w:tcW w:type="dxa" w:w="1728"/>
          </w:tcPr>
          <w:p>
            <w:r>
              <w:t>8866.4765625M</w:t>
            </w:r>
          </w:p>
        </w:tc>
        <w:tc>
          <w:tcPr>
            <w:tcW w:type="dxa" w:w="1728"/>
          </w:tcPr>
          <w:p>
            <w:r>
              <w:t>45.6%</w:t>
            </w:r>
          </w:p>
        </w:tc>
        <w:tc>
          <w:tcPr>
            <w:tcW w:type="dxa" w:w="1728"/>
          </w:tcPr>
          <w:p>
            <w:r>
              <w:t>7424.2109375M</w:t>
            </w:r>
          </w:p>
        </w:tc>
        <w:tc>
          <w:tcPr>
            <w:tcW w:type="dxa" w:w="1728"/>
          </w:tcPr>
          <w:p>
            <w:r>
              <w:t>8866.4765625M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