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header2.xml" ContentType="application/vnd.openxmlformats-officedocument.wordprocessingml.header+xml"/>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ind w:hanging="0"/>
        <w:jc w:val="center"/>
        <w:rPr/>
      </w:pPr>
      <w:r>
        <w:rPr>
          <w:sz w:val="36"/>
        </w:rPr>
        <w:t>研究阶段报告</w:t>
      </w:r>
    </w:p>
    <w:p>
      <w:pPr>
        <w:pStyle w:val="Title"/>
        <w:spacing w:before="800" w:after="440"/>
        <w:contextualSpacing/>
        <w:jc w:val="center"/>
        <w:rPr/>
      </w:pPr>
      <w:r>
        <w:rPr/>
        <w:t>面向电价尖峰的概率预测方法研究</w:t>
      </w:r>
    </w:p>
    <w:p>
      <w:pPr>
        <w:pStyle w:val="Normal"/>
        <w:ind w:hanging="0"/>
        <w:jc w:val="center"/>
        <w:rPr/>
      </w:pPr>
      <w:r>
        <w:rPr>
          <w:sz w:val="30"/>
        </w:rPr>
        <w:t>基于趋势—事件分解与成熟历史校正</w:t>
      </w:r>
    </w:p>
    <w:p>
      <w:pPr>
        <w:sectPr>
          <w:headerReference w:type="default" r:id="rId2"/>
          <w:footerReference w:type="default" r:id="rId3"/>
          <w:type w:val="nextPage"/>
          <w:pgSz w:w="11906" w:h="16838"/>
          <w:pgMar w:left="1531" w:right="1361" w:gutter="0" w:header="709" w:top="1417" w:footer="709" w:bottom="1361"/>
          <w:pgNumType w:fmt="decimal"/>
          <w:formProt w:val="false"/>
          <w:textDirection w:val="lrTb"/>
          <w:docGrid w:type="default" w:linePitch="360" w:charSpace="0"/>
        </w:sectPr>
        <w:pStyle w:val="Normal"/>
        <w:spacing w:before="2900" w:after="0"/>
        <w:ind w:hanging="0"/>
        <w:jc w:val="center"/>
        <w:rPr/>
      </w:pPr>
      <w:r>
        <w:rPr/>
        <w:t>2026</w:t>
      </w:r>
      <w:r>
        <w:rPr/>
        <w:t>年</w:t>
      </w:r>
      <w:r>
        <w:rPr/>
        <w:t>10</w:t>
      </w:r>
      <w:r>
        <w:rPr/>
        <w:t>月</w:t>
      </w:r>
    </w:p>
    <w:p>
      <w:pPr>
        <w:pStyle w:val="Heading1"/>
        <w:rPr/>
      </w:pPr>
      <w:bookmarkStart w:id="0" w:name="__RefHeading___Toc4007_610684220"/>
      <w:bookmarkEnd w:id="0"/>
      <w:r>
        <w:rPr/>
        <w:t>摘  要</w:t>
      </w:r>
    </w:p>
    <w:p>
      <w:pPr>
        <w:pStyle w:val="Normal"/>
        <w:jc w:val="both"/>
        <w:rPr/>
      </w:pPr>
      <w:r>
        <w:rPr/>
        <w:t>电力现货价格同时具有周期性、非平稳性与厚尾特征，少量短时尖峰对整体风险产生显著影响。现有模型在降低总体平均误差与刻画极端价格之间仍存在权衡，单纯提高历史曲线重建精度亦难以保证未来尖峰预测能力。针对上述问题，本研究以澳大利亚国家电力市场三个地区的小时数据为对象，研究利用供需预测信息和成熟历史残差改善滚动电价概率预测的方法。</w:t>
      </w:r>
    </w:p>
    <w:p>
      <w:pPr>
        <w:pStyle w:val="Normal"/>
        <w:jc w:val="both"/>
        <w:rPr/>
      </w:pPr>
      <w:r>
        <w:rPr/>
        <w:t>研究构建了过去</w:t>
      </w:r>
      <w:r>
        <w:rPr/>
        <w:t>72</w:t>
      </w:r>
      <w:r>
        <w:rPr/>
        <w:t>小时输入、未来</w:t>
      </w:r>
      <w:r>
        <w:rPr/>
        <w:t>24</w:t>
      </w:r>
      <w:r>
        <w:rPr/>
        <w:t>小时输出的统一实验流程，完成</w:t>
      </w:r>
      <w:r>
        <w:rPr/>
        <w:t>19</w:t>
      </w:r>
      <w:r>
        <w:rPr/>
        <w:t>个基线模型的适配与评估。在方法设计上，以冻结的</w:t>
      </w:r>
      <w:r>
        <w:rPr/>
        <w:t>LightGBM</w:t>
      </w:r>
      <w:r>
        <w:rPr/>
        <w:t>分位数模型为基础，利用近期成熟误差进行非对称位置—尺度校正，并将历史曲线分解为低频趋势与局部事件。随后，通过条件检索、事件时间对齐与采用门生成有界历史残差，采用联合损失训练神经模块，并在选择期固定检查点及校正收缩系数。</w:t>
      </w:r>
    </w:p>
    <w:p>
      <w:pPr>
        <w:pStyle w:val="Normal"/>
        <w:jc w:val="both"/>
        <w:rPr/>
      </w:pPr>
      <w:r>
        <w:rPr/>
        <w:t>在</w:t>
      </w:r>
      <w:r>
        <w:rPr/>
        <w:t>2023—2024</w:t>
      </w:r>
      <w:r>
        <w:rPr/>
        <w:t>年测试区间内，所研究方法的宏平均</w:t>
      </w:r>
      <w:r>
        <w:rPr/>
        <w:t>MAE</w:t>
      </w:r>
      <w:r>
        <w:rPr/>
        <w:t>和五分位</w:t>
      </w:r>
      <w:r>
        <w:rPr/>
        <w:t>QS</w:t>
      </w:r>
      <w:r>
        <w:rPr/>
        <w:t>分别为</w:t>
      </w:r>
      <w:r>
        <w:rPr/>
        <w:t>37.783</w:t>
      </w:r>
      <w:r>
        <w:rPr/>
        <w:t>和</w:t>
      </w:r>
      <w:r>
        <w:rPr/>
        <w:t>24.392</w:t>
      </w:r>
      <w:r>
        <w:rPr/>
        <w:t>，较</w:t>
      </w:r>
      <w:r>
        <w:rPr/>
        <w:t>LightGBM</w:t>
      </w:r>
      <w:r>
        <w:rPr/>
        <w:t>分别上升</w:t>
      </w:r>
      <w:r>
        <w:rPr/>
        <w:t>1.84%</w:t>
      </w:r>
      <w:r>
        <w:rPr/>
        <w:t>和</w:t>
      </w:r>
      <w:r>
        <w:rPr/>
        <w:t>0.83%</w:t>
      </w:r>
      <w:r>
        <w:rPr/>
        <w:t>。分层结果表明，该方法在实际价格超过</w:t>
      </w:r>
      <w:r>
        <w:rPr/>
        <w:t>300</w:t>
      </w:r>
      <w:r>
        <w:rPr/>
        <w:t>和</w:t>
      </w:r>
      <w:r>
        <w:rPr/>
        <w:t>1000 AUD/MWh</w:t>
      </w:r>
      <w:r>
        <w:rPr/>
        <w:t>时的</w:t>
      </w:r>
      <w:r>
        <w:rPr/>
        <w:t>MAE</w:t>
      </w:r>
      <w:r>
        <w:rPr/>
        <w:t>分别降低</w:t>
      </w:r>
      <w:r>
        <w:rPr/>
        <w:t>2.10%</w:t>
      </w:r>
      <w:r>
        <w:rPr/>
        <w:t>和</w:t>
      </w:r>
      <w:r>
        <w:rPr/>
        <w:t>0.81%</w:t>
      </w:r>
      <w:r>
        <w:rPr/>
        <w:t>，而在</w:t>
      </w:r>
      <w:r>
        <w:rPr/>
        <w:t>0—300 AUD/MWh</w:t>
      </w:r>
      <w:r>
        <w:rPr/>
        <w:t>常态时段上升</w:t>
      </w:r>
      <w:r>
        <w:rPr/>
        <w:t>4.93%</w:t>
      </w:r>
      <w:r>
        <w:rPr/>
        <w:t>，且高价区间的概率评分未同步改善。上述结果说明，成熟历史校正具有局部尖峰点预测价值，但其总体收益受到常态误校正与区间可靠性的限制。后续研究将围绕校正证据、事件发生与强度解耦及跨时期稳定性展开，以建立兼顾常态精度和极端风险的电价预测方法。</w:t>
      </w:r>
    </w:p>
    <w:p>
      <w:pPr>
        <w:pStyle w:val="Normal"/>
        <w:spacing w:before="240" w:after="0"/>
        <w:ind w:hanging="0"/>
        <w:jc w:val="both"/>
        <w:rPr/>
      </w:pPr>
      <w:r>
        <w:rPr/>
        <w:t>关键词：电价预测；概率预测；电价尖峰；趋势—事件分解；历史残差校正</w:t>
      </w:r>
      <w:r>
        <w:br w:type="page"/>
      </w:r>
    </w:p>
    <w:p>
      <w:pPr>
        <w:pStyle w:val="Heading1"/>
        <w:outlineLvl w:val="9"/>
        <w:rPr/>
      </w:pPr>
      <w:r>
        <w:rPr/>
        <w:t>目 录</w:t>
      </w:r>
    </w:p>
    <w:sdt>
      <w:sdtPr>
        <w:docPartObj>
          <w:docPartGallery w:val="Table of Contents"/>
          <w:docPartUnique w:val="true"/>
        </w:docPartObj>
      </w:sdtPr>
      <w:sdtContent>
        <w:p>
          <w:pPr>
            <w:pStyle w:val="Contents1"/>
            <w:rPr/>
          </w:pPr>
          <w:r>
            <w:fldChar w:fldCharType="begin"/>
          </w:r>
          <w:r>
            <w:rPr>
              <w:webHidden/>
              <w:rStyle w:val="IndexLink"/>
            </w:rPr>
            <w:instrText xml:space="preserve"> TOC \z \o "1-2" \u \h</w:instrText>
          </w:r>
          <w:r>
            <w:rPr>
              <w:webHidden/>
              <w:rStyle w:val="IndexLink"/>
            </w:rPr>
            <w:fldChar w:fldCharType="separate"/>
          </w:r>
          <w:hyperlink w:anchor="__RefHeading___Toc4007_610684220">
            <w:r>
              <w:rPr>
                <w:webHidden/>
                <w:rStyle w:val="IndexLink"/>
              </w:rPr>
              <w:t>摘 要</w:t>
            </w:r>
            <w:r>
              <w:rPr>
                <w:rStyle w:val="IndexLink"/>
              </w:rPr>
              <w:tab/>
              <w:t>i</w:t>
            </w:r>
          </w:hyperlink>
        </w:p>
        <w:p>
          <w:pPr>
            <w:pStyle w:val="Contents1"/>
            <w:rPr/>
          </w:pPr>
          <w:hyperlink w:anchor="__RefHeading___Toc4009_610684220">
            <w:r>
              <w:rPr>
                <w:webHidden/>
                <w:rStyle w:val="IndexLink"/>
              </w:rPr>
              <w:t>第</w:t>
            </w:r>
            <w:r>
              <w:rPr>
                <w:rStyle w:val="IndexLink"/>
              </w:rPr>
              <w:t>1</w:t>
            </w:r>
            <w:r>
              <w:rPr>
                <w:rStyle w:val="IndexLink"/>
              </w:rPr>
              <w:t>章 绪论</w:t>
            </w:r>
            <w:r>
              <w:rPr>
                <w:rStyle w:val="IndexLink"/>
              </w:rPr>
              <w:tab/>
              <w:t>1</w:t>
            </w:r>
          </w:hyperlink>
        </w:p>
        <w:p>
          <w:pPr>
            <w:pStyle w:val="Contents2"/>
            <w:tabs>
              <w:tab w:val="clear" w:pos="8731"/>
              <w:tab w:val="right" w:pos="9014" w:leader="dot"/>
            </w:tabs>
            <w:rPr/>
          </w:pPr>
          <w:hyperlink w:anchor="__RefHeading___Toc4011_610684220">
            <w:r>
              <w:rPr>
                <w:webHidden/>
                <w:rStyle w:val="IndexLink"/>
              </w:rPr>
              <w:t xml:space="preserve">1.1 </w:t>
            </w:r>
            <w:r>
              <w:rPr>
                <w:rStyle w:val="IndexLink"/>
              </w:rPr>
              <w:t>研究背景与意义</w:t>
            </w:r>
            <w:r>
              <w:rPr>
                <w:rStyle w:val="IndexLink"/>
              </w:rPr>
              <w:tab/>
              <w:t>1</w:t>
            </w:r>
          </w:hyperlink>
        </w:p>
        <w:p>
          <w:pPr>
            <w:pStyle w:val="Contents2"/>
            <w:tabs>
              <w:tab w:val="clear" w:pos="8731"/>
              <w:tab w:val="right" w:pos="9014" w:leader="dot"/>
            </w:tabs>
            <w:rPr/>
          </w:pPr>
          <w:hyperlink w:anchor="__RefHeading___Toc4013_610684220">
            <w:r>
              <w:rPr>
                <w:webHidden/>
                <w:rStyle w:val="IndexLink"/>
              </w:rPr>
              <w:t xml:space="preserve">1.2 </w:t>
            </w:r>
            <w:r>
              <w:rPr>
                <w:rStyle w:val="IndexLink"/>
              </w:rPr>
              <w:t>研究问题与技术挑战</w:t>
            </w:r>
            <w:r>
              <w:rPr>
                <w:rStyle w:val="IndexLink"/>
              </w:rPr>
              <w:tab/>
              <w:t>1</w:t>
            </w:r>
          </w:hyperlink>
        </w:p>
        <w:p>
          <w:pPr>
            <w:pStyle w:val="Contents2"/>
            <w:tabs>
              <w:tab w:val="clear" w:pos="8731"/>
              <w:tab w:val="right" w:pos="9014" w:leader="dot"/>
            </w:tabs>
            <w:rPr/>
          </w:pPr>
          <w:hyperlink w:anchor="__RefHeading___Toc4015_610684220">
            <w:r>
              <w:rPr>
                <w:webHidden/>
                <w:rStyle w:val="IndexLink"/>
              </w:rPr>
              <w:t xml:space="preserve">1.3 </w:t>
            </w:r>
            <w:r>
              <w:rPr>
                <w:rStyle w:val="IndexLink"/>
              </w:rPr>
              <w:t>研究内容与阶段进展</w:t>
            </w:r>
            <w:r>
              <w:rPr>
                <w:rStyle w:val="IndexLink"/>
              </w:rPr>
              <w:tab/>
              <w:t>1</w:t>
            </w:r>
          </w:hyperlink>
        </w:p>
        <w:p>
          <w:pPr>
            <w:pStyle w:val="Contents2"/>
            <w:tabs>
              <w:tab w:val="clear" w:pos="8731"/>
              <w:tab w:val="right" w:pos="9014" w:leader="dot"/>
            </w:tabs>
            <w:rPr/>
          </w:pPr>
          <w:hyperlink w:anchor="__RefHeading___Toc4017_610684220">
            <w:r>
              <w:rPr>
                <w:webHidden/>
                <w:rStyle w:val="IndexLink"/>
              </w:rPr>
              <w:t xml:space="preserve">1.4 </w:t>
            </w:r>
            <w:r>
              <w:rPr>
                <w:rStyle w:val="IndexLink"/>
              </w:rPr>
              <w:t>章节安排</w:t>
            </w:r>
            <w:r>
              <w:rPr>
                <w:rStyle w:val="IndexLink"/>
              </w:rPr>
              <w:tab/>
              <w:t>2</w:t>
            </w:r>
          </w:hyperlink>
        </w:p>
        <w:p>
          <w:pPr>
            <w:pStyle w:val="Contents1"/>
            <w:rPr/>
          </w:pPr>
          <w:hyperlink w:anchor="__RefHeading___Toc4019_610684220">
            <w:r>
              <w:rPr>
                <w:webHidden/>
                <w:rStyle w:val="IndexLink"/>
              </w:rPr>
              <w:t>第</w:t>
            </w:r>
            <w:r>
              <w:rPr>
                <w:rStyle w:val="IndexLink"/>
              </w:rPr>
              <w:t>2</w:t>
            </w:r>
            <w:r>
              <w:rPr>
                <w:rStyle w:val="IndexLink"/>
              </w:rPr>
              <w:t>章 相关研究与基线方法</w:t>
            </w:r>
            <w:r>
              <w:rPr>
                <w:rStyle w:val="IndexLink"/>
              </w:rPr>
              <w:tab/>
              <w:t>3</w:t>
            </w:r>
          </w:hyperlink>
        </w:p>
        <w:p>
          <w:pPr>
            <w:pStyle w:val="Contents2"/>
            <w:tabs>
              <w:tab w:val="clear" w:pos="8731"/>
              <w:tab w:val="right" w:pos="9014" w:leader="dot"/>
            </w:tabs>
            <w:rPr/>
          </w:pPr>
          <w:hyperlink w:anchor="__RefHeading___Toc4021_610684220">
            <w:r>
              <w:rPr>
                <w:webHidden/>
                <w:rStyle w:val="IndexLink"/>
              </w:rPr>
              <w:t xml:space="preserve">2.1 </w:t>
            </w:r>
            <w:r>
              <w:rPr>
                <w:rStyle w:val="IndexLink"/>
              </w:rPr>
              <w:t>统计与前馈预测模型</w:t>
            </w:r>
            <w:r>
              <w:rPr>
                <w:rStyle w:val="IndexLink"/>
              </w:rPr>
              <w:tab/>
              <w:t>3</w:t>
            </w:r>
          </w:hyperlink>
        </w:p>
        <w:p>
          <w:pPr>
            <w:pStyle w:val="Contents2"/>
            <w:tabs>
              <w:tab w:val="clear" w:pos="8731"/>
              <w:tab w:val="right" w:pos="9014" w:leader="dot"/>
            </w:tabs>
            <w:rPr/>
          </w:pPr>
          <w:hyperlink w:anchor="__RefHeading___Toc4023_610684220">
            <w:r>
              <w:rPr>
                <w:webHidden/>
                <w:rStyle w:val="IndexLink"/>
              </w:rPr>
              <w:t xml:space="preserve">2.2 </w:t>
            </w:r>
            <w:r>
              <w:rPr>
                <w:rStyle w:val="IndexLink"/>
              </w:rPr>
              <w:t>梯度提升树模型</w:t>
            </w:r>
            <w:r>
              <w:rPr>
                <w:rStyle w:val="IndexLink"/>
              </w:rPr>
              <w:tab/>
              <w:t>4</w:t>
            </w:r>
          </w:hyperlink>
        </w:p>
        <w:p>
          <w:pPr>
            <w:pStyle w:val="Contents2"/>
            <w:tabs>
              <w:tab w:val="clear" w:pos="8731"/>
              <w:tab w:val="right" w:pos="9014" w:leader="dot"/>
            </w:tabs>
            <w:rPr/>
          </w:pPr>
          <w:hyperlink w:anchor="__RefHeading___Toc4025_610684220">
            <w:r>
              <w:rPr>
                <w:webHidden/>
                <w:rStyle w:val="IndexLink"/>
              </w:rPr>
              <w:t xml:space="preserve">2.3 </w:t>
            </w:r>
            <w:r>
              <w:rPr>
                <w:rStyle w:val="IndexLink"/>
              </w:rPr>
              <w:t>深度时序表征模型</w:t>
            </w:r>
            <w:r>
              <w:rPr>
                <w:rStyle w:val="IndexLink"/>
              </w:rPr>
              <w:tab/>
              <w:t>5</w:t>
            </w:r>
          </w:hyperlink>
        </w:p>
        <w:p>
          <w:pPr>
            <w:pStyle w:val="Contents2"/>
            <w:tabs>
              <w:tab w:val="clear" w:pos="8731"/>
              <w:tab w:val="right" w:pos="9014" w:leader="dot"/>
            </w:tabs>
            <w:rPr/>
          </w:pPr>
          <w:hyperlink w:anchor="__RefHeading___Toc4027_610684220">
            <w:r>
              <w:rPr>
                <w:webHidden/>
                <w:rStyle w:val="IndexLink"/>
              </w:rPr>
              <w:t xml:space="preserve">2.4 </w:t>
            </w:r>
            <w:r>
              <w:rPr>
                <w:rStyle w:val="IndexLink"/>
              </w:rPr>
              <w:t>概率分布与预测校准方法</w:t>
            </w:r>
            <w:r>
              <w:rPr>
                <w:rStyle w:val="IndexLink"/>
              </w:rPr>
              <w:tab/>
              <w:t>7</w:t>
            </w:r>
          </w:hyperlink>
        </w:p>
        <w:p>
          <w:pPr>
            <w:pStyle w:val="Contents2"/>
            <w:tabs>
              <w:tab w:val="clear" w:pos="8731"/>
              <w:tab w:val="right" w:pos="9014" w:leader="dot"/>
            </w:tabs>
            <w:rPr/>
          </w:pPr>
          <w:hyperlink w:anchor="__RefHeading___Toc4029_610684220">
            <w:r>
              <w:rPr>
                <w:webHidden/>
                <w:rStyle w:val="IndexLink"/>
              </w:rPr>
              <w:t xml:space="preserve">2.5 </w:t>
            </w:r>
            <w:r>
              <w:rPr>
                <w:rStyle w:val="IndexLink"/>
              </w:rPr>
              <w:t>预训练基础模型</w:t>
            </w:r>
            <w:r>
              <w:rPr>
                <w:rStyle w:val="IndexLink"/>
              </w:rPr>
              <w:tab/>
              <w:t>9</w:t>
            </w:r>
          </w:hyperlink>
        </w:p>
        <w:p>
          <w:pPr>
            <w:pStyle w:val="Contents2"/>
            <w:tabs>
              <w:tab w:val="clear" w:pos="8731"/>
              <w:tab w:val="right" w:pos="9014" w:leader="dot"/>
            </w:tabs>
            <w:rPr/>
          </w:pPr>
          <w:hyperlink w:anchor="__RefHeading___Toc4031_610684220">
            <w:r>
              <w:rPr>
                <w:webHidden/>
                <w:rStyle w:val="IndexLink"/>
              </w:rPr>
              <w:t xml:space="preserve">2.6 </w:t>
            </w:r>
            <w:r>
              <w:rPr>
                <w:rStyle w:val="IndexLink"/>
              </w:rPr>
              <w:t>现有方法的局限与研究切入点</w:t>
            </w:r>
            <w:r>
              <w:rPr>
                <w:rStyle w:val="IndexLink"/>
              </w:rPr>
              <w:tab/>
              <w:t>10</w:t>
            </w:r>
          </w:hyperlink>
        </w:p>
        <w:p>
          <w:pPr>
            <w:pStyle w:val="Contents1"/>
            <w:rPr/>
          </w:pPr>
          <w:hyperlink w:anchor="__RefHeading___Toc4033_610684220">
            <w:r>
              <w:rPr>
                <w:webHidden/>
                <w:rStyle w:val="IndexLink"/>
              </w:rPr>
              <w:t>第</w:t>
            </w:r>
            <w:r>
              <w:rPr>
                <w:rStyle w:val="IndexLink"/>
              </w:rPr>
              <w:t>3</w:t>
            </w:r>
            <w:r>
              <w:rPr>
                <w:rStyle w:val="IndexLink"/>
              </w:rPr>
              <w:t>章 问题定义与实验设置</w:t>
            </w:r>
            <w:r>
              <w:rPr>
                <w:rStyle w:val="IndexLink"/>
              </w:rPr>
              <w:tab/>
              <w:t>11</w:t>
            </w:r>
          </w:hyperlink>
        </w:p>
        <w:p>
          <w:pPr>
            <w:pStyle w:val="Contents2"/>
            <w:tabs>
              <w:tab w:val="clear" w:pos="8731"/>
              <w:tab w:val="right" w:pos="9014" w:leader="dot"/>
            </w:tabs>
            <w:rPr/>
          </w:pPr>
          <w:hyperlink w:anchor="__RefHeading___Toc4035_610684220">
            <w:r>
              <w:rPr>
                <w:webHidden/>
                <w:rStyle w:val="IndexLink"/>
              </w:rPr>
              <w:t xml:space="preserve">3.1 </w:t>
            </w:r>
            <w:r>
              <w:rPr>
                <w:rStyle w:val="IndexLink"/>
              </w:rPr>
              <w:t>滚动多步概率预测任务</w:t>
            </w:r>
            <w:r>
              <w:rPr>
                <w:rStyle w:val="IndexLink"/>
              </w:rPr>
              <w:tab/>
              <w:t>11</w:t>
            </w:r>
          </w:hyperlink>
        </w:p>
        <w:p>
          <w:pPr>
            <w:pStyle w:val="Contents2"/>
            <w:tabs>
              <w:tab w:val="clear" w:pos="8731"/>
              <w:tab w:val="right" w:pos="9014" w:leader="dot"/>
            </w:tabs>
            <w:rPr/>
          </w:pPr>
          <w:hyperlink w:anchor="__RefHeading___Toc4037_610684220">
            <w:r>
              <w:rPr>
                <w:webHidden/>
                <w:rStyle w:val="IndexLink"/>
              </w:rPr>
              <w:t xml:space="preserve">3.2 </w:t>
            </w:r>
            <w:r>
              <w:rPr>
                <w:rStyle w:val="IndexLink"/>
              </w:rPr>
              <w:t>数据来源与输入特征</w:t>
            </w:r>
            <w:r>
              <w:rPr>
                <w:rStyle w:val="IndexLink"/>
              </w:rPr>
              <w:tab/>
              <w:t>11</w:t>
            </w:r>
          </w:hyperlink>
        </w:p>
        <w:p>
          <w:pPr>
            <w:pStyle w:val="Contents2"/>
            <w:tabs>
              <w:tab w:val="clear" w:pos="8731"/>
              <w:tab w:val="right" w:pos="9014" w:leader="dot"/>
            </w:tabs>
            <w:rPr/>
          </w:pPr>
          <w:hyperlink w:anchor="__RefHeading___Toc4039_610684220">
            <w:r>
              <w:rPr>
                <w:webHidden/>
                <w:rStyle w:val="IndexLink"/>
              </w:rPr>
              <w:t xml:space="preserve">3.3 </w:t>
            </w:r>
            <w:r>
              <w:rPr>
                <w:rStyle w:val="IndexLink"/>
              </w:rPr>
              <w:t>时间划分与训练协议</w:t>
            </w:r>
            <w:r>
              <w:rPr>
                <w:rStyle w:val="IndexLink"/>
              </w:rPr>
              <w:tab/>
              <w:t>12</w:t>
            </w:r>
          </w:hyperlink>
        </w:p>
        <w:p>
          <w:pPr>
            <w:pStyle w:val="Contents2"/>
            <w:tabs>
              <w:tab w:val="clear" w:pos="8731"/>
              <w:tab w:val="right" w:pos="9014" w:leader="dot"/>
            </w:tabs>
            <w:rPr/>
          </w:pPr>
          <w:hyperlink w:anchor="__RefHeading___Toc4041_610684220">
            <w:r>
              <w:rPr>
                <w:webHidden/>
                <w:rStyle w:val="IndexLink"/>
              </w:rPr>
              <w:t xml:space="preserve">3.4 </w:t>
            </w:r>
            <w:r>
              <w:rPr>
                <w:rStyle w:val="IndexLink"/>
              </w:rPr>
              <w:t>评价指标</w:t>
            </w:r>
            <w:r>
              <w:rPr>
                <w:rStyle w:val="IndexLink"/>
              </w:rPr>
              <w:tab/>
              <w:t>12</w:t>
            </w:r>
          </w:hyperlink>
        </w:p>
        <w:p>
          <w:pPr>
            <w:pStyle w:val="Contents2"/>
            <w:tabs>
              <w:tab w:val="clear" w:pos="8731"/>
              <w:tab w:val="right" w:pos="9014" w:leader="dot"/>
            </w:tabs>
            <w:rPr/>
          </w:pPr>
          <w:hyperlink w:anchor="__RefHeading___Toc4043_610684220">
            <w:r>
              <w:rPr>
                <w:webHidden/>
                <w:rStyle w:val="IndexLink"/>
              </w:rPr>
              <w:t xml:space="preserve">3.5 </w:t>
            </w:r>
            <w:r>
              <w:rPr>
                <w:rStyle w:val="IndexLink"/>
              </w:rPr>
              <w:t>尖峰划分与比较边界</w:t>
            </w:r>
            <w:r>
              <w:rPr>
                <w:rStyle w:val="IndexLink"/>
              </w:rPr>
              <w:tab/>
              <w:t>13</w:t>
            </w:r>
          </w:hyperlink>
        </w:p>
        <w:p>
          <w:pPr>
            <w:pStyle w:val="Contents1"/>
            <w:rPr/>
          </w:pPr>
          <w:hyperlink w:anchor="__RefHeading___Toc4045_610684220">
            <w:r>
              <w:rPr>
                <w:webHidden/>
                <w:rStyle w:val="IndexLink"/>
              </w:rPr>
              <w:t>第</w:t>
            </w:r>
            <w:r>
              <w:rPr>
                <w:rStyle w:val="IndexLink"/>
              </w:rPr>
              <w:t>4</w:t>
            </w:r>
            <w:r>
              <w:rPr>
                <w:rStyle w:val="IndexLink"/>
              </w:rPr>
              <w:t>章 基于成熟历史校正的趋势—事件联合预测方法</w:t>
            </w:r>
            <w:r>
              <w:rPr>
                <w:rStyle w:val="IndexLink"/>
              </w:rPr>
              <w:tab/>
              <w:t>14</w:t>
            </w:r>
          </w:hyperlink>
        </w:p>
        <w:p>
          <w:pPr>
            <w:pStyle w:val="Contents2"/>
            <w:tabs>
              <w:tab w:val="clear" w:pos="8731"/>
              <w:tab w:val="right" w:pos="9014" w:leader="dot"/>
            </w:tabs>
            <w:rPr/>
          </w:pPr>
          <w:hyperlink w:anchor="__RefHeading___Toc4047_610684220">
            <w:r>
              <w:rPr>
                <w:webHidden/>
                <w:rStyle w:val="IndexLink"/>
              </w:rPr>
              <w:t xml:space="preserve">4.1 </w:t>
            </w:r>
            <w:r>
              <w:rPr>
                <w:rStyle w:val="IndexLink"/>
              </w:rPr>
              <w:t>设计动机与方法演进</w:t>
            </w:r>
            <w:r>
              <w:rPr>
                <w:rStyle w:val="IndexLink"/>
              </w:rPr>
              <w:tab/>
              <w:t>14</w:t>
            </w:r>
          </w:hyperlink>
        </w:p>
        <w:p>
          <w:pPr>
            <w:pStyle w:val="Contents2"/>
            <w:tabs>
              <w:tab w:val="clear" w:pos="8731"/>
              <w:tab w:val="right" w:pos="9014" w:leader="dot"/>
            </w:tabs>
            <w:rPr/>
          </w:pPr>
          <w:hyperlink w:anchor="__RefHeading___Toc4049_610684220">
            <w:r>
              <w:rPr>
                <w:webHidden/>
                <w:rStyle w:val="IndexLink"/>
              </w:rPr>
              <w:t xml:space="preserve">4.2 </w:t>
            </w:r>
            <w:r>
              <w:rPr>
                <w:rStyle w:val="IndexLink"/>
              </w:rPr>
              <w:t>联合模型总体结构</w:t>
            </w:r>
            <w:r>
              <w:rPr>
                <w:rStyle w:val="IndexLink"/>
              </w:rPr>
              <w:tab/>
              <w:t>15</w:t>
            </w:r>
          </w:hyperlink>
        </w:p>
        <w:p>
          <w:pPr>
            <w:pStyle w:val="Contents2"/>
            <w:tabs>
              <w:tab w:val="clear" w:pos="8731"/>
              <w:tab w:val="right" w:pos="9014" w:leader="dot"/>
            </w:tabs>
            <w:rPr/>
          </w:pPr>
          <w:hyperlink w:anchor="__RefHeading___Toc4051_610684220">
            <w:r>
              <w:rPr>
                <w:webHidden/>
                <w:rStyle w:val="IndexLink"/>
              </w:rPr>
              <w:t xml:space="preserve">4.3 </w:t>
            </w:r>
            <w:r>
              <w:rPr>
                <w:rStyle w:val="IndexLink"/>
              </w:rPr>
              <w:t>基础分位预测与非对称</w:t>
            </w:r>
            <w:r>
              <w:rPr>
                <w:rStyle w:val="IndexLink"/>
              </w:rPr>
              <w:t>Anchor</w:t>
            </w:r>
            <w:r>
              <w:rPr>
                <w:rStyle w:val="IndexLink"/>
              </w:rPr>
              <w:t>校正</w:t>
            </w:r>
            <w:r>
              <w:rPr>
                <w:rStyle w:val="IndexLink"/>
              </w:rPr>
              <w:tab/>
              <w:t>15</w:t>
            </w:r>
          </w:hyperlink>
        </w:p>
        <w:p>
          <w:pPr>
            <w:pStyle w:val="Contents2"/>
            <w:tabs>
              <w:tab w:val="clear" w:pos="8731"/>
              <w:tab w:val="right" w:pos="9014" w:leader="dot"/>
            </w:tabs>
            <w:rPr/>
          </w:pPr>
          <w:hyperlink w:anchor="__RefHeading___Toc4053_610684220">
            <w:r>
              <w:rPr>
                <w:webHidden/>
                <w:rStyle w:val="IndexLink"/>
              </w:rPr>
              <w:t xml:space="preserve">4.4 </w:t>
            </w:r>
            <w:r>
              <w:rPr>
                <w:rStyle w:val="IndexLink"/>
              </w:rPr>
              <w:t>成熟历史的趋势—事件表示</w:t>
            </w:r>
            <w:r>
              <w:rPr>
                <w:rStyle w:val="IndexLink"/>
              </w:rPr>
              <w:tab/>
              <w:t>16</w:t>
            </w:r>
          </w:hyperlink>
        </w:p>
        <w:p>
          <w:pPr>
            <w:pStyle w:val="Contents2"/>
            <w:tabs>
              <w:tab w:val="clear" w:pos="8731"/>
              <w:tab w:val="right" w:pos="9014" w:leader="dot"/>
            </w:tabs>
            <w:rPr/>
          </w:pPr>
          <w:hyperlink w:anchor="__RefHeading___Toc4055_610684220">
            <w:r>
              <w:rPr>
                <w:webHidden/>
                <w:rStyle w:val="IndexLink"/>
              </w:rPr>
              <w:t xml:space="preserve">4.5 </w:t>
            </w:r>
            <w:r>
              <w:rPr>
                <w:rStyle w:val="IndexLink"/>
              </w:rPr>
              <w:t>条件检索与事件时间对齐</w:t>
            </w:r>
            <w:r>
              <w:rPr>
                <w:rStyle w:val="IndexLink"/>
              </w:rPr>
              <w:tab/>
              <w:t>17</w:t>
            </w:r>
          </w:hyperlink>
        </w:p>
        <w:p>
          <w:pPr>
            <w:pStyle w:val="Contents2"/>
            <w:tabs>
              <w:tab w:val="clear" w:pos="8731"/>
              <w:tab w:val="right" w:pos="9014" w:leader="dot"/>
            </w:tabs>
            <w:rPr/>
          </w:pPr>
          <w:hyperlink w:anchor="__RefHeading___Toc4057_610684220">
            <w:r>
              <w:rPr>
                <w:webHidden/>
                <w:rStyle w:val="IndexLink"/>
              </w:rPr>
              <w:t xml:space="preserve">4.6 </w:t>
            </w:r>
            <w:r>
              <w:rPr>
                <w:rStyle w:val="IndexLink"/>
              </w:rPr>
              <w:t>联合损失与模型选择</w:t>
            </w:r>
            <w:r>
              <w:rPr>
                <w:rStyle w:val="IndexLink"/>
              </w:rPr>
              <w:tab/>
              <w:t>17</w:t>
            </w:r>
          </w:hyperlink>
        </w:p>
        <w:p>
          <w:pPr>
            <w:pStyle w:val="Contents2"/>
            <w:tabs>
              <w:tab w:val="clear" w:pos="8731"/>
              <w:tab w:val="right" w:pos="9014" w:leader="dot"/>
            </w:tabs>
            <w:rPr/>
          </w:pPr>
          <w:hyperlink w:anchor="__RefHeading___Toc4059_610684220">
            <w:r>
              <w:rPr>
                <w:webHidden/>
                <w:rStyle w:val="IndexLink"/>
              </w:rPr>
              <w:t xml:space="preserve">4.7 </w:t>
            </w:r>
            <w:r>
              <w:rPr>
                <w:rStyle w:val="IndexLink"/>
              </w:rPr>
              <w:t>本章小结</w:t>
            </w:r>
            <w:r>
              <w:rPr>
                <w:rStyle w:val="IndexLink"/>
              </w:rPr>
              <w:tab/>
              <w:t>18</w:t>
            </w:r>
          </w:hyperlink>
        </w:p>
        <w:p>
          <w:pPr>
            <w:pStyle w:val="Contents1"/>
            <w:rPr/>
          </w:pPr>
          <w:hyperlink w:anchor="__RefHeading___Toc4061_610684220">
            <w:r>
              <w:rPr>
                <w:webHidden/>
                <w:rStyle w:val="IndexLink"/>
              </w:rPr>
              <w:t>第</w:t>
            </w:r>
            <w:r>
              <w:rPr>
                <w:rStyle w:val="IndexLink"/>
              </w:rPr>
              <w:t>5</w:t>
            </w:r>
            <w:r>
              <w:rPr>
                <w:rStyle w:val="IndexLink"/>
              </w:rPr>
              <w:t>章 实验结果与分析</w:t>
            </w:r>
            <w:r>
              <w:rPr>
                <w:rStyle w:val="IndexLink"/>
              </w:rPr>
              <w:tab/>
              <w:t>19</w:t>
            </w:r>
          </w:hyperlink>
        </w:p>
        <w:p>
          <w:pPr>
            <w:pStyle w:val="Contents2"/>
            <w:tabs>
              <w:tab w:val="clear" w:pos="8731"/>
              <w:tab w:val="right" w:pos="9014" w:leader="dot"/>
            </w:tabs>
            <w:rPr/>
          </w:pPr>
          <w:hyperlink w:anchor="__RefHeading___Toc4063_610684220">
            <w:r>
              <w:rPr>
                <w:webHidden/>
                <w:rStyle w:val="IndexLink"/>
              </w:rPr>
              <w:t xml:space="preserve">5.1 </w:t>
            </w:r>
            <w:r>
              <w:rPr>
                <w:rStyle w:val="IndexLink"/>
              </w:rPr>
              <w:t>总体预测性能</w:t>
            </w:r>
            <w:r>
              <w:rPr>
                <w:rStyle w:val="IndexLink"/>
              </w:rPr>
              <w:tab/>
              <w:t>19</w:t>
            </w:r>
          </w:hyperlink>
        </w:p>
        <w:p>
          <w:pPr>
            <w:pStyle w:val="Contents2"/>
            <w:tabs>
              <w:tab w:val="clear" w:pos="8731"/>
              <w:tab w:val="right" w:pos="9014" w:leader="dot"/>
            </w:tabs>
            <w:rPr/>
          </w:pPr>
          <w:hyperlink w:anchor="__RefHeading___Toc4065_610684220">
            <w:r>
              <w:rPr>
                <w:webHidden/>
                <w:rStyle w:val="IndexLink"/>
              </w:rPr>
              <w:t xml:space="preserve">5.2 </w:t>
            </w:r>
            <w:r>
              <w:rPr>
                <w:rStyle w:val="IndexLink"/>
              </w:rPr>
              <w:t>不同地区的预测表现</w:t>
            </w:r>
            <w:r>
              <w:rPr>
                <w:rStyle w:val="IndexLink"/>
              </w:rPr>
              <w:tab/>
              <w:t>21</w:t>
            </w:r>
          </w:hyperlink>
        </w:p>
        <w:p>
          <w:pPr>
            <w:pStyle w:val="Contents2"/>
            <w:tabs>
              <w:tab w:val="clear" w:pos="8731"/>
              <w:tab w:val="right" w:pos="9014" w:leader="dot"/>
            </w:tabs>
            <w:rPr/>
          </w:pPr>
          <w:hyperlink w:anchor="__RefHeading___Toc4067_610684220">
            <w:r>
              <w:rPr>
                <w:webHidden/>
                <w:rStyle w:val="IndexLink"/>
              </w:rPr>
              <w:t xml:space="preserve">5.3 </w:t>
            </w:r>
            <w:r>
              <w:rPr>
                <w:rStyle w:val="IndexLink"/>
              </w:rPr>
              <w:t>概率区间的覆盖与宽度</w:t>
            </w:r>
            <w:r>
              <w:rPr>
                <w:rStyle w:val="IndexLink"/>
              </w:rPr>
              <w:tab/>
              <w:t>22</w:t>
            </w:r>
          </w:hyperlink>
        </w:p>
        <w:p>
          <w:pPr>
            <w:pStyle w:val="Contents2"/>
            <w:tabs>
              <w:tab w:val="clear" w:pos="8731"/>
              <w:tab w:val="right" w:pos="9014" w:leader="dot"/>
            </w:tabs>
            <w:rPr/>
          </w:pPr>
          <w:hyperlink w:anchor="__RefHeading___Toc4069_610684220">
            <w:r>
              <w:rPr>
                <w:webHidden/>
                <w:rStyle w:val="IndexLink"/>
              </w:rPr>
              <w:t xml:space="preserve">5.4 </w:t>
            </w:r>
            <w:r>
              <w:rPr>
                <w:rStyle w:val="IndexLink"/>
              </w:rPr>
              <w:t>组件关闭干预分析</w:t>
            </w:r>
            <w:r>
              <w:rPr>
                <w:rStyle w:val="IndexLink"/>
              </w:rPr>
              <w:tab/>
              <w:t>22</w:t>
            </w:r>
          </w:hyperlink>
        </w:p>
        <w:p>
          <w:pPr>
            <w:pStyle w:val="Contents2"/>
            <w:tabs>
              <w:tab w:val="clear" w:pos="8731"/>
              <w:tab w:val="right" w:pos="9014" w:leader="dot"/>
            </w:tabs>
            <w:rPr/>
          </w:pPr>
          <w:hyperlink w:anchor="__RefHeading___Toc4071_610684220">
            <w:r>
              <w:rPr>
                <w:webHidden/>
                <w:rStyle w:val="IndexLink"/>
              </w:rPr>
              <w:t xml:space="preserve">5.5 </w:t>
            </w:r>
            <w:r>
              <w:rPr>
                <w:rStyle w:val="IndexLink"/>
              </w:rPr>
              <w:t>电价尖峰与常态误差分析</w:t>
            </w:r>
            <w:r>
              <w:rPr>
                <w:rStyle w:val="IndexLink"/>
              </w:rPr>
              <w:tab/>
              <w:t>23</w:t>
            </w:r>
          </w:hyperlink>
        </w:p>
        <w:p>
          <w:pPr>
            <w:pStyle w:val="Contents2"/>
            <w:tabs>
              <w:tab w:val="clear" w:pos="8731"/>
              <w:tab w:val="right" w:pos="9014" w:leader="dot"/>
            </w:tabs>
            <w:rPr/>
          </w:pPr>
          <w:hyperlink w:anchor="__RefHeading___Toc4073_610684220">
            <w:r>
              <w:rPr>
                <w:webHidden/>
                <w:rStyle w:val="IndexLink"/>
              </w:rPr>
              <w:t xml:space="preserve">5.6 </w:t>
            </w:r>
            <w:r>
              <w:rPr>
                <w:rStyle w:val="IndexLink"/>
              </w:rPr>
              <w:t>校正稳健性与状态约束实验</w:t>
            </w:r>
            <w:r>
              <w:rPr>
                <w:rStyle w:val="IndexLink"/>
              </w:rPr>
              <w:tab/>
              <w:t>24</w:t>
            </w:r>
          </w:hyperlink>
        </w:p>
        <w:p>
          <w:pPr>
            <w:pStyle w:val="Contents2"/>
            <w:tabs>
              <w:tab w:val="clear" w:pos="8731"/>
              <w:tab w:val="right" w:pos="9014" w:leader="dot"/>
            </w:tabs>
            <w:rPr/>
          </w:pPr>
          <w:hyperlink w:anchor="__RefHeading___Toc4075_610684220">
            <w:r>
              <w:rPr>
                <w:webHidden/>
                <w:rStyle w:val="IndexLink"/>
              </w:rPr>
              <w:t xml:space="preserve">5.7 </w:t>
            </w:r>
            <w:r>
              <w:rPr>
                <w:rStyle w:val="IndexLink"/>
              </w:rPr>
              <w:t>结果讨论与有效性限制</w:t>
            </w:r>
            <w:r>
              <w:rPr>
                <w:rStyle w:val="IndexLink"/>
              </w:rPr>
              <w:tab/>
              <w:t>25</w:t>
            </w:r>
          </w:hyperlink>
        </w:p>
        <w:p>
          <w:pPr>
            <w:pStyle w:val="Contents1"/>
            <w:rPr/>
          </w:pPr>
          <w:hyperlink w:anchor="__RefHeading___Toc4077_610684220">
            <w:r>
              <w:rPr>
                <w:webHidden/>
                <w:rStyle w:val="IndexLink"/>
              </w:rPr>
              <w:t>第</w:t>
            </w:r>
            <w:r>
              <w:rPr>
                <w:rStyle w:val="IndexLink"/>
              </w:rPr>
              <w:t>6</w:t>
            </w:r>
            <w:r>
              <w:rPr>
                <w:rStyle w:val="IndexLink"/>
              </w:rPr>
              <w:t>章 结论与展望</w:t>
            </w:r>
            <w:r>
              <w:rPr>
                <w:rStyle w:val="IndexLink"/>
              </w:rPr>
              <w:tab/>
              <w:t>27</w:t>
            </w:r>
          </w:hyperlink>
        </w:p>
        <w:p>
          <w:pPr>
            <w:pStyle w:val="Contents2"/>
            <w:tabs>
              <w:tab w:val="clear" w:pos="8731"/>
              <w:tab w:val="right" w:pos="9014" w:leader="dot"/>
            </w:tabs>
            <w:rPr/>
          </w:pPr>
          <w:hyperlink w:anchor="__RefHeading___Toc4079_610684220">
            <w:r>
              <w:rPr>
                <w:webHidden/>
                <w:rStyle w:val="IndexLink"/>
              </w:rPr>
              <w:t xml:space="preserve">6.1 </w:t>
            </w:r>
            <w:r>
              <w:rPr>
                <w:rStyle w:val="IndexLink"/>
              </w:rPr>
              <w:t>阶段研究结论</w:t>
            </w:r>
            <w:r>
              <w:rPr>
                <w:rStyle w:val="IndexLink"/>
              </w:rPr>
              <w:tab/>
              <w:t>27</w:t>
            </w:r>
          </w:hyperlink>
        </w:p>
        <w:p>
          <w:pPr>
            <w:pStyle w:val="Contents2"/>
            <w:tabs>
              <w:tab w:val="clear" w:pos="8731"/>
              <w:tab w:val="right" w:pos="9014" w:leader="dot"/>
            </w:tabs>
            <w:rPr/>
          </w:pPr>
          <w:hyperlink w:anchor="__RefHeading___Toc4081_610684220">
            <w:r>
              <w:rPr>
                <w:webHidden/>
                <w:rStyle w:val="IndexLink"/>
              </w:rPr>
              <w:t xml:space="preserve">6.2 </w:t>
            </w:r>
            <w:r>
              <w:rPr>
                <w:rStyle w:val="IndexLink"/>
              </w:rPr>
              <w:t>当前研究不足</w:t>
            </w:r>
            <w:r>
              <w:rPr>
                <w:rStyle w:val="IndexLink"/>
              </w:rPr>
              <w:tab/>
              <w:t>27</w:t>
            </w:r>
          </w:hyperlink>
        </w:p>
        <w:p>
          <w:pPr>
            <w:pStyle w:val="Contents2"/>
            <w:tabs>
              <w:tab w:val="clear" w:pos="8731"/>
              <w:tab w:val="right" w:pos="9014" w:leader="dot"/>
            </w:tabs>
            <w:rPr/>
          </w:pPr>
          <w:hyperlink w:anchor="__RefHeading___Toc4083_610684220">
            <w:r>
              <w:rPr>
                <w:webHidden/>
                <w:rStyle w:val="IndexLink"/>
              </w:rPr>
              <w:t xml:space="preserve">6.3 </w:t>
            </w:r>
            <w:r>
              <w:rPr>
                <w:rStyle w:val="IndexLink"/>
              </w:rPr>
              <w:t>后续研究方向</w:t>
            </w:r>
            <w:r>
              <w:rPr>
                <w:rStyle w:val="IndexLink"/>
              </w:rPr>
              <w:tab/>
              <w:t>27</w:t>
            </w:r>
          </w:hyperlink>
        </w:p>
        <w:p>
          <w:pPr>
            <w:pStyle w:val="Contents2"/>
            <w:tabs>
              <w:tab w:val="clear" w:pos="8731"/>
              <w:tab w:val="right" w:pos="9014" w:leader="dot"/>
            </w:tabs>
            <w:rPr/>
          </w:pPr>
          <w:hyperlink w:anchor="__RefHeading___Toc4085_610684220">
            <w:r>
              <w:rPr>
                <w:webHidden/>
                <w:rStyle w:val="IndexLink"/>
              </w:rPr>
              <w:t xml:space="preserve">6.4 </w:t>
            </w:r>
            <w:r>
              <w:rPr>
                <w:rStyle w:val="IndexLink"/>
              </w:rPr>
              <w:t>总结</w:t>
            </w:r>
            <w:r>
              <w:rPr>
                <w:rStyle w:val="IndexLink"/>
              </w:rPr>
              <w:tab/>
              <w:t>28</w:t>
            </w:r>
          </w:hyperlink>
        </w:p>
        <w:p>
          <w:pPr>
            <w:pStyle w:val="Contents1"/>
            <w:rPr/>
          </w:pPr>
          <w:hyperlink w:anchor="__RefHeading___Toc4087_610684220">
            <w:r>
              <w:rPr>
                <w:webHidden/>
                <w:rStyle w:val="IndexLink"/>
              </w:rPr>
              <w:t>参考文献</w:t>
            </w:r>
            <w:r>
              <w:rPr>
                <w:rStyle w:val="IndexLink"/>
              </w:rPr>
              <w:tab/>
              <w:t>29</w:t>
            </w:r>
          </w:hyperlink>
        </w:p>
        <w:p>
          <w:pPr>
            <w:pStyle w:val="Contents1"/>
            <w:rPr/>
          </w:pPr>
          <w:hyperlink w:anchor="__RefHeading___Toc4089_610684220">
            <w:r>
              <w:rPr>
                <w:webHidden/>
                <w:rStyle w:val="IndexLink"/>
              </w:rPr>
              <w:t>附录</w:t>
            </w:r>
            <w:r>
              <w:rPr>
                <w:rStyle w:val="IndexLink"/>
              </w:rPr>
              <w:t xml:space="preserve">A </w:t>
            </w:r>
            <w:r>
              <w:rPr>
                <w:rStyle w:val="IndexLink"/>
              </w:rPr>
              <w:t>补充实验结果</w:t>
            </w:r>
            <w:r>
              <w:rPr>
                <w:rStyle w:val="IndexLink"/>
              </w:rPr>
              <w:tab/>
              <w:t>32</w:t>
            </w:r>
          </w:hyperlink>
        </w:p>
        <w:p>
          <w:pPr>
            <w:pStyle w:val="Contents1"/>
            <w:rPr/>
          </w:pPr>
          <w:hyperlink w:anchor="__RefHeading___Toc4091_610684220">
            <w:r>
              <w:rPr>
                <w:webHidden/>
                <w:rStyle w:val="IndexLink"/>
              </w:rPr>
              <w:t>附录</w:t>
            </w:r>
            <w:r>
              <w:rPr>
                <w:rStyle w:val="IndexLink"/>
              </w:rPr>
              <w:t xml:space="preserve">B </w:t>
            </w:r>
            <w:r>
              <w:rPr>
                <w:rStyle w:val="IndexLink"/>
              </w:rPr>
              <w:t>可复现性说明</w:t>
            </w:r>
            <w:r>
              <w:rPr>
                <w:rStyle w:val="IndexLink"/>
              </w:rPr>
              <w:tab/>
              <w:t>33</w:t>
            </w:r>
          </w:hyperlink>
          <w:r>
            <w:rPr>
              <w:rStyle w:val="IndexLink"/>
            </w:rPr>
            <w:fldChar w:fldCharType="end"/>
          </w:r>
        </w:p>
        <w:p>
          <w:pPr>
            <w:sectPr>
              <w:headerReference w:type="default" r:id="rId4"/>
              <w:footerReference w:type="default" r:id="rId5"/>
              <w:type w:val="nextPage"/>
              <w:pgSz w:w="11906" w:h="16838"/>
              <w:pgMar w:left="1531" w:right="1361" w:gutter="0" w:header="709" w:top="1417" w:footer="709" w:bottom="1361"/>
              <w:pgNumType w:start="1" w:fmt="lowerRoman"/>
              <w:formProt w:val="false"/>
              <w:textDirection w:val="lrTb"/>
              <w:docGrid w:type="default" w:linePitch="360" w:charSpace="0"/>
            </w:sectPr>
          </w:pPr>
        </w:p>
      </w:sdtContent>
    </w:sdt>
    <w:p>
      <w:pPr>
        <w:pStyle w:val="Heading1"/>
        <w:rPr/>
      </w:pPr>
      <w:bookmarkStart w:id="1" w:name="__RefHeading___Toc4009_610684220"/>
      <w:bookmarkEnd w:id="1"/>
      <w:r>
        <w:rPr/>
        <w:t>第</w:t>
      </w:r>
      <w:r>
        <w:rPr/>
        <w:t>1</w:t>
      </w:r>
      <w:r>
        <w:rPr/>
        <w:t>章  绪论</w:t>
      </w:r>
    </w:p>
    <w:p>
      <w:pPr>
        <w:pStyle w:val="Heading2"/>
        <w:rPr/>
      </w:pPr>
      <w:bookmarkStart w:id="2" w:name="__RefHeading___Toc4011_610684220"/>
      <w:bookmarkEnd w:id="2"/>
      <w:r>
        <w:rPr/>
        <w:t xml:space="preserve">1.1 </w:t>
      </w:r>
      <w:r>
        <w:rPr/>
        <w:t>研究背景与意义</w:t>
      </w:r>
    </w:p>
    <w:p>
      <w:pPr>
        <w:pStyle w:val="Normal"/>
        <w:jc w:val="both"/>
        <w:rPr/>
      </w:pPr>
      <w:r>
        <w:rPr/>
        <w:t>电价预测是电力市场运行与参与者风险管理的重要基础。随着可再生能源出力、负荷水平和系统约束随时间变化，现货价格不仅呈现周期规律，也可能出现短时高价与负价。对预测模型而言，常态价格决定多数样本上的误差水平，稀少尖峰则显著影响极端损失与风险判断。因此，需要同时关注点预测精度、概率分布质量与不同价格状态下的可靠性。</w:t>
      </w:r>
      <w:r>
        <w:rPr>
          <w:sz w:val="18"/>
          <w:vertAlign w:val="superscript"/>
        </w:rPr>
        <w:t>[1]</w:t>
      </w:r>
      <w:r>
        <w:rPr/>
        <w:t xml:space="preserve"> </w:t>
      </w:r>
      <w:r>
        <w:rPr>
          <w:sz w:val="18"/>
          <w:vertAlign w:val="superscript"/>
        </w:rPr>
        <w:t>[2]</w:t>
      </w:r>
    </w:p>
    <w:p>
      <w:pPr>
        <w:pStyle w:val="Normal"/>
        <w:jc w:val="both"/>
        <w:rPr/>
      </w:pPr>
      <w:r>
        <w:rPr/>
        <w:t>已有综述指出，电价预测方法应在多个市场与较长测试区间内，结合强统计和机器学习基线进行验证，以避免有限样本和评价口径差异导致的结论偏差。</w:t>
      </w:r>
      <w:r>
        <w:rPr>
          <w:sz w:val="18"/>
          <w:vertAlign w:val="superscript"/>
        </w:rPr>
        <w:t>[3]</w:t>
      </w:r>
      <w:r>
        <w:rPr/>
        <w:t>本研究据此构建共同样本、共同价格尺度和共同评分下的比较流程，将复杂模型的增量价值落实到可复核的数值结果。</w:t>
      </w:r>
    </w:p>
    <w:p>
      <w:pPr>
        <w:pStyle w:val="Heading2"/>
        <w:rPr/>
      </w:pPr>
      <w:bookmarkStart w:id="3" w:name="__RefHeading___Toc4013_610684220"/>
      <w:bookmarkEnd w:id="3"/>
      <w:r>
        <w:rPr/>
        <w:t xml:space="preserve">1.2 </w:t>
      </w:r>
      <w:r>
        <w:rPr/>
        <w:t>研究问题与技术挑战</w:t>
      </w:r>
    </w:p>
    <w:p>
      <w:pPr>
        <w:pStyle w:val="Normal"/>
        <w:jc w:val="both"/>
        <w:rPr/>
      </w:pPr>
      <w:r>
        <w:rPr/>
        <w:t>本研究关注每小时滚动起点下的</w:t>
      </w:r>
      <w:r>
        <w:rPr/>
        <w:t>24</w:t>
      </w:r>
      <w:r>
        <w:rPr/>
        <w:t>小时概率预测。在实际价格尚不可见时，模型需要依据此前</w:t>
      </w:r>
      <w:r>
        <w:rPr/>
        <w:t>72</w:t>
      </w:r>
      <w:r>
        <w:rPr/>
        <w:t>小时的价格与需求以及起点已知外生信息，识别潜在尖峰的发生、位置和强度。由于尖峰样本稀少且与供需状态相关，直接优化总体损失的模型可能倾向于平滑极端值；相反，过度强调尖峰又可能在常态时段产生错误抬价。</w:t>
      </w:r>
    </w:p>
    <w:p>
      <w:pPr>
        <w:pStyle w:val="Normal"/>
        <w:jc w:val="both"/>
        <w:rPr/>
      </w:pPr>
      <w:r>
        <w:rPr/>
        <w:t>另一项挑战是历史模式的可迁移性。相似的历史曲线并不意味着当前市场具有相同价格形成条件，历史重建精确也不等价于未来预测有效。若校正缺乏充分的状态支持，趋势与事件分支可能同时产生偏移，最终抵消强基线已经获得的常态精度。此外，中位数校正和上尾不确定性具有不同目标，仅对所有分位数共同平移并不能充分表达尖峰风险。</w:t>
      </w:r>
    </w:p>
    <w:p>
      <w:pPr>
        <w:pStyle w:val="Heading2"/>
        <w:rPr/>
      </w:pPr>
      <w:bookmarkStart w:id="4" w:name="__RefHeading___Toc4015_610684220"/>
      <w:bookmarkEnd w:id="4"/>
      <w:r>
        <w:rPr/>
        <w:t xml:space="preserve">1.3 </w:t>
      </w:r>
      <w:r>
        <w:rPr/>
        <w:t>研究内容与阶段进展</w:t>
      </w:r>
    </w:p>
    <w:p>
      <w:pPr>
        <w:pStyle w:val="Normal"/>
        <w:jc w:val="both"/>
        <w:rPr/>
      </w:pPr>
      <w:r>
        <w:rPr/>
        <w:t>围绕上述问题，本阶段的研究包括基线体系构建、趋势—事件方法探索和预测误差分析三个方面。首先，完成</w:t>
      </w:r>
      <w:r>
        <w:rPr/>
        <w:t>19</w:t>
      </w:r>
      <w:r>
        <w:rPr/>
        <w:t>个基线配置的统一适配，覆盖线性模型、梯度提升树、深度时序网络、概率校准组合以及预训练基础模型。其次，以</w:t>
      </w:r>
      <w:r>
        <w:rPr/>
        <w:t>DualTimesField</w:t>
      </w:r>
      <w:r>
        <w:rPr/>
        <w:t>的趋势与事件分离思想为出发点，逐步探索直接分解、历史检索和强基座残差校正，并形成具有非对称</w:t>
      </w:r>
      <w:r>
        <w:rPr/>
        <w:t>Anchor</w:t>
      </w:r>
      <w:r>
        <w:rPr/>
        <w:t>头的联合方法。</w:t>
      </w:r>
      <w:r>
        <w:rPr>
          <w:sz w:val="18"/>
          <w:vertAlign w:val="superscript"/>
        </w:rPr>
        <w:t>[4]</w:t>
      </w:r>
    </w:p>
    <w:p>
      <w:pPr>
        <w:pStyle w:val="Normal"/>
        <w:jc w:val="both"/>
        <w:rPr/>
      </w:pPr>
      <w:r>
        <w:rPr/>
        <w:t>最后，在三个地区和三个种子标签下比较当前方法及其干预输出，并进一步按实际价格区间分解误差。现阶段已观察到部分尖峰点误差改善，但尚未形成稳定超越</w:t>
      </w:r>
      <w:r>
        <w:rPr/>
        <w:t>LightGBM</w:t>
      </w:r>
      <w:r>
        <w:rPr/>
        <w:t>的总体结果。研究进展体现为明确了历史校正的作用范围及主要失效模式，为后续可靠性约束提供了实验依据。</w:t>
      </w:r>
    </w:p>
    <w:p>
      <w:pPr>
        <w:pStyle w:val="Heading2"/>
        <w:rPr/>
      </w:pPr>
      <w:bookmarkStart w:id="5" w:name="__RefHeading___Toc4017_610684220"/>
      <w:bookmarkEnd w:id="5"/>
      <w:r>
        <w:rPr/>
        <w:t xml:space="preserve">1.4 </w:t>
      </w:r>
      <w:r>
        <w:rPr/>
        <w:t>章节安排</w:t>
      </w:r>
    </w:p>
    <w:p>
      <w:pPr>
        <w:pStyle w:val="Normal"/>
        <w:jc w:val="both"/>
        <w:rPr/>
      </w:pPr>
      <w:r>
        <w:rPr/>
        <w:t>第</w:t>
      </w:r>
      <w:r>
        <w:rPr/>
        <w:t>2</w:t>
      </w:r>
      <w:r>
        <w:rPr/>
        <w:t>章介绍相关研究与全部基线方法，说明原始论文机制及本文适配方式。第</w:t>
      </w:r>
      <w:r>
        <w:rPr/>
        <w:t>3</w:t>
      </w:r>
      <w:r>
        <w:rPr/>
        <w:t>章给出问题定义、数据设置与评价协议。第</w:t>
      </w:r>
      <w:r>
        <w:rPr/>
        <w:t>4</w:t>
      </w:r>
      <w:r>
        <w:rPr/>
        <w:t>章阐述方法演进及当前联合模型。第</w:t>
      </w:r>
      <w:r>
        <w:rPr/>
        <w:t>5</w:t>
      </w:r>
      <w:r>
        <w:rPr/>
        <w:t>章比较总体、地区、概率区间和尖峰分层结果，并分析干预与稳健性实验。第</w:t>
      </w:r>
      <w:r>
        <w:rPr/>
        <w:t>6</w:t>
      </w:r>
      <w:r>
        <w:rPr/>
        <w:t>章总结阶段结论，讨论现有不足与后续研究方向。</w:t>
      </w:r>
      <w:r>
        <w:br w:type="page"/>
      </w:r>
    </w:p>
    <w:p>
      <w:pPr>
        <w:pStyle w:val="Heading1"/>
        <w:rPr/>
      </w:pPr>
      <w:bookmarkStart w:id="6" w:name="__RefHeading___Toc4019_610684220"/>
      <w:bookmarkEnd w:id="6"/>
      <w:r>
        <w:rPr/>
        <w:t>第</w:t>
      </w:r>
      <w:r>
        <w:rPr/>
        <w:t>2</w:t>
      </w:r>
      <w:r>
        <w:rPr/>
        <w:t>章  相关研究与基线方法</w:t>
      </w:r>
    </w:p>
    <w:p>
      <w:pPr>
        <w:pStyle w:val="Normal"/>
        <w:jc w:val="both"/>
        <w:rPr/>
      </w:pPr>
      <w:r>
        <w:rPr/>
        <w:t>电价预测研究既包含针对市场数据设计的统计与机器学习方法，也吸收了通用时间序列预测和预训练模型的进展。本文选取</w:t>
      </w:r>
      <w:r>
        <w:rPr/>
        <w:t>19</w:t>
      </w:r>
      <w:r>
        <w:rPr/>
        <w:t>个已完成实验的基线配置，分别从线性结构、非线性阈值、时序表征、分布建模和迁移学习等角度检验联合方法的增量价值。组合模型的骨干和校准机制分别引用其来源文献，所有数值比较均采用本文实验结果。</w:t>
      </w:r>
    </w:p>
    <w:p>
      <w:pPr>
        <w:pStyle w:val="Heading2"/>
        <w:rPr/>
      </w:pPr>
      <w:bookmarkStart w:id="7" w:name="__RefHeading___Toc4021_610684220"/>
      <w:bookmarkEnd w:id="7"/>
      <w:r>
        <w:rPr/>
        <w:t xml:space="preserve">2.1 </w:t>
      </w:r>
      <w:r>
        <w:rPr/>
        <w:t>统计与前馈预测模型</w:t>
      </w:r>
    </w:p>
    <w:p>
      <w:pPr>
        <w:pStyle w:val="Heading3"/>
        <w:rPr/>
      </w:pPr>
      <w:r>
        <w:rPr/>
        <w:t>2.1.1 Linear</w:t>
      </w:r>
      <w:r>
        <w:rPr/>
        <w:t>：线性结构对照</w:t>
      </w:r>
    </w:p>
    <w:p>
      <w:pPr>
        <w:pStyle w:val="Normal"/>
        <w:jc w:val="both"/>
        <w:rPr/>
      </w:pPr>
      <w:r>
        <w:rPr/>
        <w:t>线性预测模型能够以较低的参数规模保留历史序列的时间顺序，是评估复杂预测结构增益的基本参照。</w:t>
      </w:r>
      <w:r>
        <w:rPr/>
        <w:t xml:space="preserve">Zeng </w:t>
      </w:r>
      <w:r>
        <w:rPr/>
        <w:t>等（</w:t>
      </w:r>
      <w:r>
        <w:rPr/>
        <w:t>2023</w:t>
      </w:r>
      <w:r>
        <w:rPr/>
        <w:t xml:space="preserve">）通过 </w:t>
      </w:r>
      <w:r>
        <w:rPr/>
        <w:t xml:space="preserve">LTSF-Linear </w:t>
      </w:r>
      <w:r>
        <w:rPr/>
        <w:t xml:space="preserve">系列实验说明了线性映射在长序列预测中的竞争力。基于这一思想，本研究构建包含历史价格映射与外生变量映射的线性对照，其表达式为 </w:t>
      </w:r>
      <w:r>
        <w:rPr/>
        <w:t>q̂τ=Wτp</w:t>
      </w:r>
      <w:r>
        <w:rPr/>
        <w:t>历史</w:t>
      </w:r>
      <w:r>
        <w:rPr/>
        <w:t>+Aτz</w:t>
      </w:r>
      <w:r>
        <w:rPr/>
        <w:t>已知</w:t>
      </w:r>
      <w:r>
        <w:rPr/>
        <w:t>+bτ</w:t>
      </w:r>
      <w:r>
        <w:rPr/>
        <w:t xml:space="preserve">，直接输出未来 </w:t>
      </w:r>
      <w:r>
        <w:rPr/>
        <w:t xml:space="preserve">24 </w:t>
      </w:r>
      <w:r>
        <w:rPr/>
        <w:t>个时距的五个条件分位。</w:t>
      </w:r>
      <w:r>
        <w:rPr>
          <w:sz w:val="18"/>
          <w:vertAlign w:val="superscript"/>
        </w:rPr>
        <w:t>[5]</w:t>
      </w:r>
    </w:p>
    <w:p>
      <w:pPr>
        <w:pStyle w:val="Normal"/>
        <w:jc w:val="both"/>
        <w:rPr/>
      </w:pPr>
      <w:r>
        <w:rPr/>
        <w:t xml:space="preserve">该实现沿用 </w:t>
      </w:r>
      <w:r>
        <w:rPr/>
        <w:t xml:space="preserve">DLinear </w:t>
      </w:r>
      <w:r>
        <w:rPr/>
        <w:t>的参数布局并关闭移动平均分解，通过分位损失训练，外生变量经线性适配层进入预测。与原研究的点预测任务相比，此处扩展了概率输出与外生信息接口。该模型能够分离复杂结构相对于一般线性关系的贡献，但对供需稀缺条件下的阈值效应与高阶交互表达能力有限，尾部样本不足也可能导致尖峰幅度估计偏低。</w:t>
      </w:r>
    </w:p>
    <w:p>
      <w:pPr>
        <w:pStyle w:val="Heading3"/>
        <w:rPr/>
      </w:pPr>
      <w:r>
        <w:rPr/>
        <w:t>2.1.2 DLinear</w:t>
      </w:r>
      <w:r>
        <w:rPr/>
        <w:t>：趋势与残差分解</w:t>
      </w:r>
    </w:p>
    <w:p>
      <w:pPr>
        <w:pStyle w:val="Normal"/>
        <w:jc w:val="both"/>
        <w:rPr/>
      </w:pPr>
      <w:r>
        <w:rPr/>
        <w:t>DLinear</w:t>
      </w:r>
      <w:r>
        <w:rPr/>
        <w:t>（</w:t>
      </w:r>
      <w:r>
        <w:rPr/>
        <w:t xml:space="preserve">Zeng </w:t>
      </w:r>
      <w:r>
        <w:rPr/>
        <w:t>等，</w:t>
      </w:r>
      <w:r>
        <w:rPr/>
        <w:t>2023</w:t>
      </w:r>
      <w:r>
        <w:rPr/>
        <w:t xml:space="preserve">）采用趋势—残差分解降低预测问题的复杂度。首先通过移动平均得到趋势项 </w:t>
      </w:r>
      <w:r>
        <w:rPr/>
        <w:t>T=MA(p)</w:t>
      </w:r>
      <w:r>
        <w:rPr/>
        <w:t xml:space="preserve">，再构造残差项 </w:t>
      </w:r>
      <w:r>
        <w:rPr/>
        <w:t>S=p−T</w:t>
      </w:r>
      <w:r>
        <w:rPr/>
        <w:t>，最后分别进行线性映射并叠加：</w:t>
      </w:r>
      <w:r>
        <w:rPr/>
        <w:t>ŷ=WT T+WS S</w:t>
      </w:r>
      <w:r>
        <w:rPr/>
        <w:t>。该结构以较少参数同时刻画价格水平的缓慢变化与较快波动。</w:t>
      </w:r>
      <w:r>
        <w:rPr>
          <w:sz w:val="18"/>
          <w:vertAlign w:val="superscript"/>
        </w:rPr>
        <w:t>[5]</w:t>
      </w:r>
    </w:p>
    <w:p>
      <w:pPr>
        <w:pStyle w:val="Normal"/>
        <w:jc w:val="both"/>
        <w:rPr/>
      </w:pPr>
      <w:r>
        <w:rPr/>
        <w:t xml:space="preserve">本研究采用长度为 </w:t>
      </w:r>
      <w:r>
        <w:rPr/>
        <w:t xml:space="preserve">25 </w:t>
      </w:r>
      <w:r>
        <w:rPr/>
        <w:t>的移动平均与端点重复填充，在分解结构之外加入外生变量适配层和五分位输出头。该实现属于基于方法原理的重实现，与官方实现的权重映射等价性尚未完成验证。趋势分解有利于刻画日内波动及水平漂移，但其统计分量不直接对应市场供需状态。当尖峰由历史窗口之外的新稀缺条件触发时，仅依靠线性分解仍难以充分确定峰值幅度与发生时点。</w:t>
      </w:r>
    </w:p>
    <w:p>
      <w:pPr>
        <w:pStyle w:val="Heading3"/>
        <w:rPr/>
      </w:pPr>
      <w:r>
        <w:rPr/>
        <w:t>2.1.3 MLP</w:t>
      </w:r>
      <w:r>
        <w:rPr/>
        <w:t>：全输入非线性对照</w:t>
      </w:r>
    </w:p>
    <w:p>
      <w:pPr>
        <w:pStyle w:val="Normal"/>
        <w:jc w:val="both"/>
        <w:rPr/>
      </w:pPr>
      <w:r>
        <w:rPr/>
        <w:t>多层感知机通过隐层非线性变换学习输入与预测目标之间的关系。</w:t>
      </w:r>
      <w:r>
        <w:rPr/>
        <w:t>Rumelhart</w:t>
      </w:r>
      <w:r>
        <w:rPr/>
        <w:t>、</w:t>
      </w:r>
      <w:r>
        <w:rPr/>
        <w:t xml:space="preserve">Hinton </w:t>
      </w:r>
      <w:r>
        <w:rPr/>
        <w:t xml:space="preserve">和 </w:t>
      </w:r>
      <w:r>
        <w:rPr/>
        <w:t>Williams</w:t>
      </w:r>
      <w:r>
        <w:rPr/>
        <w:t>（</w:t>
      </w:r>
      <w:r>
        <w:rPr/>
        <w:t>1986</w:t>
      </w:r>
      <w:r>
        <w:rPr/>
        <w:t xml:space="preserve">）的反向传播研究为其参数学习提供经典方法基础。本研究采用通用前馈网络作为非线性对照，将七组公共输入展平为向量 </w:t>
      </w:r>
      <w:r>
        <w:rPr/>
        <w:t>z</w:t>
      </w:r>
      <w:r>
        <w:rPr/>
        <w:t xml:space="preserve">，经单隐层 </w:t>
      </w:r>
      <w:r>
        <w:rPr/>
        <w:t xml:space="preserve">GELU </w:t>
      </w:r>
      <w:r>
        <w:rPr/>
        <w:t xml:space="preserve">变换后产生 </w:t>
      </w:r>
      <w:r>
        <w:rPr/>
        <w:t xml:space="preserve">24×5 </w:t>
      </w:r>
      <w:r>
        <w:rPr/>
        <w:t>维输出：</w:t>
      </w:r>
      <w:r>
        <w:rPr/>
        <w:t>q̂=W₂ GELU(W₁z+b₁)+b₂</w:t>
      </w:r>
      <w:r>
        <w:rPr/>
        <w:t>。</w:t>
      </w:r>
      <w:r>
        <w:rPr>
          <w:sz w:val="18"/>
          <w:vertAlign w:val="superscript"/>
        </w:rPr>
        <w:t>[6]</w:t>
      </w:r>
    </w:p>
    <w:p>
      <w:pPr>
        <w:pStyle w:val="Normal"/>
        <w:jc w:val="both"/>
        <w:rPr/>
      </w:pPr>
      <w:r>
        <w:rPr/>
        <w:t xml:space="preserve">隐层宽度设为 </w:t>
      </w:r>
      <w:r>
        <w:rPr/>
        <w:t>64</w:t>
      </w:r>
      <w:r>
        <w:rPr/>
        <w:t>，全部公共输入均参与预测，网络不包含双场结构、显式趋势分解或预设条件分布。该对照用于评估所提出结构相对于一般非线性映射的附加贡献。</w:t>
      </w:r>
      <w:r>
        <w:rPr/>
        <w:t xml:space="preserve">MLP </w:t>
      </w:r>
      <w:r>
        <w:rPr/>
        <w:t>能够表示价格与外生因素的非线性联系，但缺少专门的时间结构归纳偏置；在尖峰样本稀少时，整体损失的改善未必伴随尾部事件预测能力的同步提升。</w:t>
      </w:r>
    </w:p>
    <w:p>
      <w:pPr>
        <w:pStyle w:val="Heading3"/>
        <w:rPr/>
      </w:pPr>
      <w:r>
        <w:rPr/>
        <w:t>2.1.4 Lasso ARX72 + CP</w:t>
      </w:r>
      <w:r>
        <w:rPr/>
        <w:t>：稀疏线性预测与残差区间</w:t>
      </w:r>
    </w:p>
    <w:p>
      <w:pPr>
        <w:pStyle w:val="Normal"/>
        <w:jc w:val="both"/>
        <w:rPr/>
      </w:pPr>
      <w:r>
        <w:rPr/>
        <w:t>Lasso</w:t>
      </w:r>
      <w:r>
        <w:rPr/>
        <w:t>（</w:t>
      </w:r>
      <w:r>
        <w:rPr/>
        <w:t>Tibshirani</w:t>
      </w:r>
      <w:r>
        <w:rPr/>
        <w:t>，</w:t>
      </w:r>
      <w:r>
        <w:rPr/>
        <w:t>1996</w:t>
      </w:r>
      <w:r>
        <w:rPr/>
        <w:t xml:space="preserve">）通过目标函数 </w:t>
      </w:r>
      <w:r>
        <w:rPr/>
        <w:t xml:space="preserve">(1/2n)‖y−Xβ‖²+λ‖β‖₁ </w:t>
      </w:r>
      <w:r>
        <w:rPr/>
        <w:t xml:space="preserve">同时实现系数收缩与变量选择。本研究以 </w:t>
      </w:r>
      <w:r>
        <w:rPr/>
        <w:t xml:space="preserve">72 </w:t>
      </w:r>
      <w:r>
        <w:rPr/>
        <w:t xml:space="preserve">小时历史及公共外生特征构建逐时距回归，在选定正则强度后，通过样本外残差校准生成分位预测。该组合定义为 </w:t>
      </w:r>
      <w:r>
        <w:rPr/>
        <w:t>ARX72+CP</w:t>
      </w:r>
      <w:r>
        <w:rPr/>
        <w:t xml:space="preserve">，其特征与训练设置不同于电价文献中的完整 </w:t>
      </w:r>
      <w:r>
        <w:rPr/>
        <w:t xml:space="preserve">LEAR </w:t>
      </w:r>
      <w:r>
        <w:rPr/>
        <w:t>方案。</w:t>
      </w:r>
      <w:r>
        <w:rPr>
          <w:sz w:val="18"/>
          <w:vertAlign w:val="superscript"/>
        </w:rPr>
        <w:t>[7]</w:t>
      </w:r>
      <w:r>
        <w:rPr/>
        <w:t xml:space="preserve"> </w:t>
      </w:r>
      <w:r>
        <w:rPr>
          <w:sz w:val="18"/>
          <w:vertAlign w:val="superscript"/>
        </w:rPr>
        <w:t>[8]</w:t>
      </w:r>
      <w:r>
        <w:rPr/>
        <w:t xml:space="preserve"> </w:t>
      </w:r>
      <w:r>
        <w:rPr>
          <w:sz w:val="18"/>
          <w:vertAlign w:val="superscript"/>
        </w:rPr>
        <w:t>[9]</w:t>
      </w:r>
    </w:p>
    <w:p>
      <w:pPr>
        <w:pStyle w:val="Normal"/>
        <w:jc w:val="both"/>
        <w:rPr/>
      </w:pPr>
      <w:r>
        <w:rPr/>
        <w:t xml:space="preserve">分割共形预测的理论背景来自 </w:t>
      </w:r>
      <w:r>
        <w:rPr/>
        <w:t xml:space="preserve">Lei </w:t>
      </w:r>
      <w:r>
        <w:rPr/>
        <w:t>等（</w:t>
      </w:r>
      <w:r>
        <w:rPr/>
        <w:t>2018</w:t>
      </w:r>
      <w:r>
        <w:rPr/>
        <w:t xml:space="preserve">），绝对残差校准公式采用 </w:t>
      </w:r>
      <w:r>
        <w:rPr/>
        <w:t xml:space="preserve">Lipiecki </w:t>
      </w:r>
      <w:r>
        <w:rPr/>
        <w:t xml:space="preserve">与 </w:t>
      </w:r>
      <w:r>
        <w:rPr/>
        <w:t>Weron</w:t>
      </w:r>
      <w:r>
        <w:rPr/>
        <w:t>（</w:t>
      </w:r>
      <w:r>
        <w:rPr/>
        <w:t>2025</w:t>
      </w:r>
      <w:r>
        <w:rPr/>
        <w:t xml:space="preserve">）的 </w:t>
      </w:r>
      <w:r>
        <w:rPr/>
        <w:t xml:space="preserve">PostForecasts.jl </w:t>
      </w:r>
      <w:r>
        <w:rPr/>
        <w:t>形式：</w:t>
      </w:r>
      <w:r>
        <w:rPr/>
        <w:t>q̂τ=ŷ+sgn(τ−0.5)·Q|2τ−1|(|y</w:t>
      </w:r>
      <w:r>
        <w:rPr/>
        <w:t>校准−</w:t>
      </w:r>
      <w:r>
        <w:rPr/>
        <w:t>ŷ</w:t>
      </w:r>
      <w:r>
        <w:rPr/>
        <w:t>校准</w:t>
      </w:r>
      <w:r>
        <w:rPr/>
        <w:t>|)</w:t>
      </w:r>
      <w:r>
        <w:rPr/>
        <w:t xml:space="preserve">，其中残差分位按时距独立估计，并使用 </w:t>
      </w:r>
      <w:r>
        <w:rPr/>
        <w:t xml:space="preserve">type-7 </w:t>
      </w:r>
      <w:r>
        <w:rPr/>
        <w:t xml:space="preserve">插值。预测区间关于 </w:t>
      </w:r>
      <w:r>
        <w:rPr/>
        <w:t xml:space="preserve">Lasso </w:t>
      </w:r>
      <w:r>
        <w:rPr/>
        <w:t>中心对称，因此具有较高可解释性，但无法调整中心偏差或表达上下尾不对称。由于重叠时间序列样本不满足交换性，且采用插值分位，该实现的覆盖表现通过实证检验评估。</w:t>
      </w:r>
    </w:p>
    <w:p>
      <w:pPr>
        <w:pStyle w:val="Heading2"/>
        <w:rPr/>
      </w:pPr>
      <w:bookmarkStart w:id="8" w:name="__RefHeading___Toc4023_610684220"/>
      <w:bookmarkEnd w:id="8"/>
      <w:r>
        <w:rPr/>
        <w:t xml:space="preserve">2.2 </w:t>
      </w:r>
      <w:r>
        <w:rPr/>
        <w:t>梯度提升树模型</w:t>
      </w:r>
    </w:p>
    <w:p>
      <w:pPr>
        <w:pStyle w:val="Heading3"/>
        <w:rPr/>
      </w:pPr>
      <w:r>
        <w:rPr/>
        <w:t>2.2.1 LightGBM</w:t>
      </w:r>
      <w:r>
        <w:rPr/>
        <w:t>：梯度提升树分位回归</w:t>
      </w:r>
    </w:p>
    <w:p>
      <w:pPr>
        <w:pStyle w:val="Normal"/>
        <w:jc w:val="both"/>
        <w:rPr/>
      </w:pPr>
      <w:r>
        <w:rPr/>
        <w:t>LightGBM</w:t>
      </w:r>
      <w:r>
        <w:rPr/>
        <w:t>（</w:t>
      </w:r>
      <w:r>
        <w:rPr/>
        <w:t xml:space="preserve">Ke </w:t>
      </w:r>
      <w:r>
        <w:rPr/>
        <w:t>等，</w:t>
      </w:r>
      <w:r>
        <w:rPr/>
        <w:t>2017</w:t>
      </w:r>
      <w:r>
        <w:rPr/>
        <w:t xml:space="preserve">）以梯度提升树逐步逼近目标函数，其预测可写为 </w:t>
      </w:r>
      <w:r>
        <w:rPr/>
        <w:t>F(x)=Σmηfm(x)</w:t>
      </w:r>
      <w:r>
        <w:rPr/>
        <w:t>。原研究提出基于梯度的单侧采样与互斥特征捆绑，以提高大规模树学习效率。树结构能够表示需求、日历与历史价格之间的阈值关系和非线性交互，为电价状态建模提供灵活表示。</w:t>
      </w:r>
      <w:r>
        <w:rPr>
          <w:sz w:val="18"/>
          <w:vertAlign w:val="superscript"/>
        </w:rPr>
        <w:t>[10]</w:t>
      </w:r>
    </w:p>
    <w:p>
      <w:pPr>
        <w:pStyle w:val="Normal"/>
        <w:jc w:val="both"/>
        <w:rPr/>
      </w:pPr>
      <w:r>
        <w:rPr/>
        <w:t xml:space="preserve">本研究调用官方 </w:t>
      </w:r>
      <w:r>
        <w:rPr/>
        <w:t xml:space="preserve">LightGBM </w:t>
      </w:r>
      <w:r>
        <w:rPr/>
        <w:t xml:space="preserve">库，将公共输入统一展平，并对每个预测时距分别训练五个分位模型。迭代轮数由该时距的共同五分位评分联合确定，训练损失为 </w:t>
      </w:r>
      <w:r>
        <w:rPr/>
        <w:t>ρτ(u)=u[τ−1(u&lt;0)]</w:t>
      </w:r>
      <w:r>
        <w:rPr/>
        <w:t>。这一设置将树提升方法适配至概率电价预测，原论文的效率机制不作为本实验逐项启用的假定。其主要局限在于叶节点输出对训练样本范围之外的极端幅度外推能力有限，且逐时距学习未显式约束预测轨迹的一致性。</w:t>
      </w:r>
    </w:p>
    <w:p>
      <w:pPr>
        <w:pStyle w:val="Heading3"/>
        <w:rPr/>
      </w:pPr>
      <w:r>
        <w:rPr/>
        <w:t>2.2.2 XGBoost</w:t>
      </w:r>
      <w:r>
        <w:rPr/>
        <w:t>：正则化树提升分位回归</w:t>
      </w:r>
    </w:p>
    <w:p>
      <w:pPr>
        <w:pStyle w:val="Normal"/>
        <w:jc w:val="both"/>
        <w:rPr/>
      </w:pPr>
      <w:r>
        <w:rPr/>
        <w:t>XGBoost</w:t>
      </w:r>
      <w:r>
        <w:rPr/>
        <w:t>（</w:t>
      </w:r>
      <w:r>
        <w:rPr/>
        <w:t xml:space="preserve">Chen </w:t>
      </w:r>
      <w:r>
        <w:rPr/>
        <w:t xml:space="preserve">与 </w:t>
      </w:r>
      <w:r>
        <w:rPr/>
        <w:t>Guestrin</w:t>
      </w:r>
      <w:r>
        <w:rPr/>
        <w:t>，</w:t>
      </w:r>
      <w:r>
        <w:rPr/>
        <w:t>2016</w:t>
      </w:r>
      <w:r>
        <w:rPr/>
        <w:t xml:space="preserve">）在经验风险之外引入树复杂度正则化，目标为 </w:t>
      </w:r>
      <w:r>
        <w:rPr/>
        <w:t>L=Σiℓ(yi,F(xi))+ΣmΩ(fm)</w:t>
      </w:r>
      <w:r>
        <w:rPr/>
        <w:t>。该方法利用梯度及曲率信息逐步增加树结构，并结合稀疏感知分裂、加权分位草图和系统优化提高计算效率。提升树能够刻画分段非线性关系及变量交互。</w:t>
      </w:r>
      <w:r>
        <w:rPr>
          <w:sz w:val="18"/>
          <w:vertAlign w:val="superscript"/>
        </w:rPr>
        <w:t>[11]</w:t>
      </w:r>
    </w:p>
    <w:p>
      <w:pPr>
        <w:pStyle w:val="Normal"/>
        <w:jc w:val="both"/>
        <w:rPr/>
      </w:pPr>
      <w:r>
        <w:rPr/>
        <w:t xml:space="preserve">本研究基于官方 </w:t>
      </w:r>
      <w:r>
        <w:rPr/>
        <w:t xml:space="preserve">XGBRegressor </w:t>
      </w:r>
      <w:r>
        <w:rPr/>
        <w:t>实现逐时距分位预测，采用直方图树方法和分位回归目标，并使用共同验证指标选择迭代前缀。五分位输出是针对当前研究任务进行的配置扩展。</w:t>
      </w:r>
      <w:r>
        <w:rPr/>
        <w:t xml:space="preserve">XGBoost </w:t>
      </w:r>
      <w:r>
        <w:rPr/>
        <w:t>能够识别训练数据中与价格抬升相关的阈值条件，但其尖峰预测仍受到稀缺状态样本数量、市场机制变化及极端幅度外推的限制，因此需要联合分析整体误差与尖峰子集表现。</w:t>
      </w:r>
    </w:p>
    <w:p>
      <w:pPr>
        <w:pStyle w:val="Heading2"/>
        <w:rPr/>
      </w:pPr>
      <w:bookmarkStart w:id="9" w:name="__RefHeading___Toc4025_610684220"/>
      <w:bookmarkEnd w:id="9"/>
      <w:r>
        <w:rPr/>
        <w:t xml:space="preserve">2.3 </w:t>
      </w:r>
      <w:r>
        <w:rPr/>
        <w:t>深度时序表征模型</w:t>
      </w:r>
    </w:p>
    <w:p>
      <w:pPr>
        <w:pStyle w:val="Heading3"/>
        <w:rPr/>
      </w:pPr>
      <w:r>
        <w:rPr/>
        <w:t>2.3.1 PatchTST</w:t>
      </w:r>
      <w:r>
        <w:rPr/>
        <w:t xml:space="preserve">：局部片段表示与 </w:t>
      </w:r>
      <w:r>
        <w:rPr/>
        <w:t>Transformer</w:t>
      </w:r>
    </w:p>
    <w:p>
      <w:pPr>
        <w:pStyle w:val="Normal"/>
        <w:jc w:val="both"/>
        <w:rPr/>
      </w:pPr>
      <w:r>
        <w:rPr/>
        <w:t>PatchTST</w:t>
      </w:r>
      <w:r>
        <w:rPr/>
        <w:t>（</w:t>
      </w:r>
      <w:r>
        <w:rPr/>
        <w:t xml:space="preserve">Nie </w:t>
      </w:r>
      <w:r>
        <w:rPr/>
        <w:t>等，</w:t>
      </w:r>
      <w:r>
        <w:rPr/>
        <w:t>2023</w:t>
      </w:r>
      <w:r>
        <w:rPr/>
        <w:t xml:space="preserve">）将连续时间点划分为局部片段，并把片段映射为 </w:t>
      </w:r>
      <w:r>
        <w:rPr/>
        <w:t xml:space="preserve">Transformer </w:t>
      </w:r>
      <w:r>
        <w:rPr/>
        <w:t>输入标记。原方法采用共享权重的通道独立结构，以保留局部形态并降低注意力计算的序列长度。</w:t>
      </w:r>
      <w:r>
        <w:rPr/>
        <w:t>RevIN</w:t>
      </w:r>
      <w:r>
        <w:rPr/>
        <w:t>（</w:t>
      </w:r>
      <w:r>
        <w:rPr/>
        <w:t xml:space="preserve">Kim </w:t>
      </w:r>
      <w:r>
        <w:rPr/>
        <w:t>等，</w:t>
      </w:r>
      <w:r>
        <w:rPr/>
        <w:t>2022</w:t>
      </w:r>
      <w:r>
        <w:rPr/>
        <w:t>）进一步通过样本级归一化与输出反归一化缓解分布变化。</w:t>
      </w:r>
      <w:r>
        <w:rPr>
          <w:sz w:val="18"/>
          <w:vertAlign w:val="superscript"/>
        </w:rPr>
        <w:t>[12]</w:t>
      </w:r>
      <w:r>
        <w:rPr/>
        <w:t xml:space="preserve"> </w:t>
      </w:r>
      <w:r>
        <w:rPr>
          <w:sz w:val="18"/>
          <w:vertAlign w:val="superscript"/>
        </w:rPr>
        <w:t>[13]</w:t>
      </w:r>
    </w:p>
    <w:p>
      <w:pPr>
        <w:pStyle w:val="Normal"/>
        <w:jc w:val="both"/>
        <w:rPr/>
      </w:pPr>
      <w:r>
        <w:rPr/>
        <w:t>本研究重实现片段嵌入、</w:t>
      </w:r>
      <w:r>
        <w:rPr/>
        <w:t>RevIN</w:t>
      </w:r>
      <w:r>
        <w:rPr/>
        <w:t xml:space="preserve">、注意力层及预测头，价格历史进入 </w:t>
      </w:r>
      <w:r>
        <w:rPr/>
        <w:t>Transformer</w:t>
      </w:r>
      <w:r>
        <w:rPr/>
        <w:t xml:space="preserve">，外生变量通过线性适配层参与预测，整体形式为 </w:t>
      </w:r>
      <w:r>
        <w:rPr/>
        <w:t>q̂=RevIN⁻¹[Head(Transformer(Patch(RevIN(p))))]+A(z)</w:t>
      </w:r>
      <w:r>
        <w:rPr/>
        <w:t>。输出扩展为五分位，官方权重映射的数值等价性尚未完成验证。该结构适合学习历史价格的局部波形与周期关系，但外生作用采用加性路径，且历史形态未必包含未来供给约束的信息，因此其对孤立尖峰及市场状态变化的适应能力需要专项评估。</w:t>
      </w:r>
    </w:p>
    <w:p>
      <w:pPr>
        <w:pStyle w:val="Heading3"/>
        <w:rPr/>
      </w:pPr>
      <w:r>
        <w:rPr/>
        <w:t>2.3.2 GateTS adapter</w:t>
      </w:r>
      <w:r>
        <w:rPr/>
        <w:t>：注意力启发路由与专家混合</w:t>
      </w:r>
    </w:p>
    <w:p>
      <w:pPr>
        <w:pStyle w:val="Normal"/>
        <w:jc w:val="both"/>
        <w:rPr/>
      </w:pPr>
      <w:r>
        <w:rPr/>
        <w:t>GateTS</w:t>
      </w:r>
      <w:r>
        <w:rPr/>
        <w:t>（</w:t>
      </w:r>
      <w:r>
        <w:rPr/>
        <w:t>Yemets</w:t>
      </w:r>
      <w:r>
        <w:rPr/>
        <w:t>、</w:t>
      </w:r>
      <w:r>
        <w:rPr/>
        <w:t xml:space="preserve">Lukashchuk </w:t>
      </w:r>
      <w:r>
        <w:rPr/>
        <w:t xml:space="preserve">与 </w:t>
      </w:r>
      <w:r>
        <w:rPr/>
        <w:t>Izonin</w:t>
      </w:r>
      <w:r>
        <w:rPr/>
        <w:t>，</w:t>
      </w:r>
      <w:r>
        <w:rPr/>
        <w:t>2025</w:t>
      </w:r>
      <w:r>
        <w:rPr/>
        <w:t xml:space="preserve">）通过注意力启发的路由机制组合不同专家，基本形式为 </w:t>
      </w:r>
      <w:r>
        <w:rPr/>
        <w:t>h=Σe∈TopK g_e(x)E_e(x)</w:t>
      </w:r>
      <w:r>
        <w:rPr/>
        <w:t>。原方法面向单变量预测，旨在降低额外负载均衡训练的需求，并使专家学习不同序列形态。</w:t>
      </w:r>
      <w:r>
        <w:rPr>
          <w:sz w:val="18"/>
          <w:vertAlign w:val="superscript"/>
        </w:rPr>
        <w:t>[14]</w:t>
      </w:r>
    </w:p>
    <w:p>
      <w:pPr>
        <w:pStyle w:val="Normal"/>
        <w:jc w:val="both"/>
        <w:rPr/>
      </w:pPr>
      <w:r>
        <w:rPr/>
        <w:t xml:space="preserve">本研究保留官方固定版本的骨干结构，将输出维度扩展为 </w:t>
      </w:r>
      <w:r>
        <w:rPr/>
        <w:t>24×5</w:t>
      </w:r>
      <w:r>
        <w:rPr/>
        <w:t xml:space="preserve">，并增加已知外生变量的线性适配层。计算流程先评估全部专家，再施加 </w:t>
      </w:r>
      <w:r>
        <w:rPr/>
        <w:t xml:space="preserve">top-k </w:t>
      </w:r>
      <w:r>
        <w:rPr/>
        <w:t>输出掩码，因此其运行效率应依据当前实现测量。专家分工为区分平稳与高波动状态提供了结构基础，但路由缺少显式供需机制监督，外生信息以加性方式进入。稀少尖峰状态下的专家利用率、路由稳定性及预测误差需要结合诊断实验分析。</w:t>
      </w:r>
    </w:p>
    <w:p>
      <w:pPr>
        <w:pStyle w:val="Heading3"/>
        <w:rPr/>
      </w:pPr>
      <w:r>
        <w:rPr/>
        <w:t>2.3.3 TimeXer</w:t>
      </w:r>
      <w:r>
        <w:rPr/>
        <w:t>：内生片段与外生变量交叉注意力</w:t>
      </w:r>
    </w:p>
    <w:p>
      <w:pPr>
        <w:pStyle w:val="Normal"/>
        <w:jc w:val="both"/>
        <w:rPr/>
      </w:pPr>
      <w:r>
        <w:rPr/>
        <w:t>TimeXer</w:t>
      </w:r>
      <w:r>
        <w:rPr/>
        <w:t>（</w:t>
      </w:r>
      <w:r>
        <w:rPr/>
        <w:t xml:space="preserve">Wang </w:t>
      </w:r>
      <w:r>
        <w:rPr/>
        <w:t>等，</w:t>
      </w:r>
      <w:r>
        <w:rPr/>
        <w:t>2024</w:t>
      </w:r>
      <w:r>
        <w:rPr/>
        <w:t xml:space="preserve">）针对带外生变量的时间序列预测，将内生价格表示为时间片段，将外生序列表示为变量标记。可学习的全局内生标记通过变量级交叉注意力吸收外生信息，再与价格片段进行信息交换。其基本算子为 </w:t>
      </w:r>
      <w:r>
        <w:rPr/>
        <w:t>Attention(Q,K,V)=softmax(QKᵀ/√d)V</w:t>
      </w:r>
      <w:r>
        <w:rPr/>
        <w:t>。</w:t>
      </w:r>
      <w:r>
        <w:rPr>
          <w:sz w:val="18"/>
          <w:vertAlign w:val="superscript"/>
        </w:rPr>
        <w:t>[15]</w:t>
      </w:r>
    </w:p>
    <w:p>
      <w:pPr>
        <w:pStyle w:val="Normal"/>
        <w:jc w:val="both"/>
        <w:rPr/>
      </w:pPr>
      <w:r>
        <w:rPr/>
        <w:t>本研究保留官方骨干，增加预测时点已知的未来变量标记，并将预测头扩展为五分位输出；历史路径已进行同权重数值比较。历史需求、日历及未来已知外生信息均按预测时点的信息可得性接入。该模型用于检验较充分的内外生信息交互对电价预测的贡献。注意力有助于学习非线性耦合，但其统计关联不直接构成市场因果机制，上尾校准与稀缺状态外推仍需独立评估。</w:t>
      </w:r>
    </w:p>
    <w:p>
      <w:pPr>
        <w:pStyle w:val="Heading3"/>
        <w:rPr/>
      </w:pPr>
      <w:r>
        <w:rPr/>
        <w:t>2.3.4 PriceFM</w:t>
      </w:r>
      <w:r>
        <w:rPr/>
        <w:t xml:space="preserve">：电价领域 </w:t>
      </w:r>
      <w:r>
        <w:rPr/>
        <w:t xml:space="preserve">MoE </w:t>
      </w:r>
      <w:r>
        <w:rPr/>
        <w:t>与图结构迁移的局部实现</w:t>
      </w:r>
    </w:p>
    <w:p>
      <w:pPr>
        <w:pStyle w:val="Normal"/>
        <w:jc w:val="both"/>
        <w:rPr/>
      </w:pPr>
      <w:r>
        <w:rPr/>
        <w:t>PriceFM</w:t>
      </w:r>
      <w:r>
        <w:rPr/>
        <w:t>（</w:t>
      </w:r>
      <w:r>
        <w:rPr/>
        <w:t xml:space="preserve">Yu </w:t>
      </w:r>
      <w:r>
        <w:rPr/>
        <w:t>等，</w:t>
      </w:r>
      <w:r>
        <w:rPr/>
        <w:t>2025</w:t>
      </w:r>
      <w:r>
        <w:rPr/>
        <w:t>；</w:t>
      </w:r>
      <w:r>
        <w:rPr/>
        <w:t xml:space="preserve">2026 </w:t>
      </w:r>
      <w:r>
        <w:rPr/>
        <w:t>年修订）面向欧洲跨区域概率电价预测，将价格、负荷及风光预测等变量映射到共享专家表示，并利用输电拓扑约束聚合区域信息。该方法将领域相关的市场联系与电力网络知识纳入基础模型设计。</w:t>
      </w:r>
      <w:r>
        <w:rPr>
          <w:sz w:val="18"/>
          <w:vertAlign w:val="superscript"/>
        </w:rPr>
        <w:t>[16]</w:t>
      </w:r>
    </w:p>
    <w:p>
      <w:pPr>
        <w:pStyle w:val="Normal"/>
        <w:jc w:val="both"/>
        <w:rPr/>
      </w:pPr>
      <w:r>
        <w:rPr/>
        <w:t xml:space="preserve">本研究依据 </w:t>
      </w:r>
      <w:r>
        <w:rPr/>
        <w:t xml:space="preserve">2026 </w:t>
      </w:r>
      <w:r>
        <w:rPr/>
        <w:t xml:space="preserve">年专家混合架构，将官方 </w:t>
      </w:r>
      <w:r>
        <w:rPr/>
        <w:t xml:space="preserve">TensorFlow </w:t>
      </w:r>
      <w:r>
        <w:rPr/>
        <w:t xml:space="preserve">实现移植到 </w:t>
      </w:r>
      <w:r>
        <w:rPr/>
        <w:t>PyTorch</w:t>
      </w:r>
      <w:r>
        <w:rPr/>
        <w:t>，使用历史与未来两条投影、稠密专家加权及图池化。五分位围绕中位数逐级加减非负增量构造，以保持分位顺序。实验采用每地区单节点、从头训练的设置，未包含原研究的多区域预训练和空间迁移，且跨框架数值等价性尚未通过验证。因此，该对照评估的是架构在当前任务中的适配效果。单节点设置弱化了跨区域信息聚合，对尖峰预测的贡献需结合当前实验解释。</w:t>
      </w:r>
    </w:p>
    <w:p>
      <w:pPr>
        <w:pStyle w:val="Heading2"/>
        <w:rPr/>
      </w:pPr>
      <w:bookmarkStart w:id="10" w:name="__RefHeading___Toc4027_610684220"/>
      <w:bookmarkEnd w:id="10"/>
      <w:r>
        <w:rPr/>
        <w:t xml:space="preserve">2.4 </w:t>
      </w:r>
      <w:r>
        <w:rPr/>
        <w:t>概率分布与预测校准方法</w:t>
      </w:r>
    </w:p>
    <w:p>
      <w:pPr>
        <w:pStyle w:val="Heading3"/>
        <w:rPr/>
      </w:pPr>
      <w:r>
        <w:rPr/>
        <w:t>2.4.1 DDNN-JSU</w:t>
      </w:r>
      <w:r>
        <w:rPr/>
        <w:t>：条件偏态厚尾分布建模</w:t>
      </w:r>
    </w:p>
    <w:p>
      <w:pPr>
        <w:pStyle w:val="Normal"/>
        <w:jc w:val="both"/>
        <w:rPr/>
      </w:pPr>
      <w:r>
        <w:rPr/>
        <w:t>分布神经网络通过预测条件分布参数而非单一点值刻画价格不确定性。</w:t>
      </w:r>
      <w:r>
        <w:rPr/>
        <w:t xml:space="preserve">Marcjasz </w:t>
      </w:r>
      <w:r>
        <w:rPr/>
        <w:t>等（</w:t>
      </w:r>
      <w:r>
        <w:rPr/>
        <w:t>2023</w:t>
      </w:r>
      <w:r>
        <w:rPr/>
        <w:t xml:space="preserve">）将该范式应用于电价预测，其中 </w:t>
      </w:r>
      <w:r>
        <w:rPr/>
        <w:t xml:space="preserve">Johnson SU </w:t>
      </w:r>
      <w:r>
        <w:rPr/>
        <w:t>分布能够同时表示偏度、厚尾与负值。</w:t>
      </w:r>
      <w:r>
        <w:rPr/>
        <w:t xml:space="preserve">Lebedev </w:t>
      </w:r>
      <w:r>
        <w:rPr/>
        <w:t>等（</w:t>
      </w:r>
      <w:r>
        <w:rPr/>
        <w:t>2026</w:t>
      </w:r>
      <w:r>
        <w:rPr/>
        <w:t xml:space="preserve">）进一步比较统计与神经预测中的不确定性估计。本研究参考其配套正态分布网络的结构，并依据 </w:t>
      </w:r>
      <w:r>
        <w:rPr/>
        <w:t xml:space="preserve">Johnson SU </w:t>
      </w:r>
      <w:r>
        <w:rPr/>
        <w:t>公式重实现分布参数化。</w:t>
      </w:r>
      <w:r>
        <w:rPr>
          <w:sz w:val="18"/>
          <w:vertAlign w:val="superscript"/>
        </w:rPr>
        <w:t>[17]</w:t>
      </w:r>
      <w:r>
        <w:rPr/>
        <w:t xml:space="preserve"> </w:t>
      </w:r>
      <w:r>
        <w:rPr>
          <w:sz w:val="18"/>
          <w:vertAlign w:val="superscript"/>
        </w:rPr>
        <w:t>[18]</w:t>
      </w:r>
    </w:p>
    <w:p>
      <w:pPr>
        <w:pStyle w:val="Normal"/>
        <w:jc w:val="both"/>
        <w:rPr/>
      </w:pPr>
      <w:r>
        <w:rPr/>
        <w:t xml:space="preserve">设 </w:t>
      </w:r>
      <w:r>
        <w:rPr/>
        <w:t>W~N(μw,σw²)</w:t>
      </w:r>
      <w:r>
        <w:rPr/>
        <w:t>，</w:t>
      </w:r>
      <w:r>
        <w:rPr/>
        <w:t>Y=ξ+λsinh(W)</w:t>
      </w:r>
      <w:r>
        <w:rPr/>
        <w:t xml:space="preserve">，网络逐时距输出四个参数，其中 </w:t>
      </w:r>
      <w:r>
        <w:rPr/>
        <w:t xml:space="preserve">λ </w:t>
      </w:r>
      <w:r>
        <w:rPr/>
        <w:t xml:space="preserve">与 </w:t>
      </w:r>
      <w:r>
        <w:rPr/>
        <w:t xml:space="preserve">σw </w:t>
      </w:r>
      <w:r>
        <w:rPr/>
        <w:t xml:space="preserve">保持为正。训练目标为精确负对数似然，条件分位为 </w:t>
      </w:r>
      <w:r>
        <w:rPr/>
        <w:t>qτ=ξ+λsinh(μw+σwΦ⁻¹(τ))</w:t>
      </w:r>
      <w:r>
        <w:rPr/>
        <w:t xml:space="preserve">。位置参数 </w:t>
      </w:r>
      <w:r>
        <w:rPr/>
        <w:t xml:space="preserve">ξ </w:t>
      </w:r>
      <w:r>
        <w:rPr/>
        <w:t xml:space="preserve">一般不等于中位数，故点预测由真实 </w:t>
      </w:r>
      <w:r>
        <w:rPr/>
        <w:t xml:space="preserve">q50 </w:t>
      </w:r>
      <w:r>
        <w:rPr/>
        <w:t>给出。七组公共输入全部展平，模型选择采用原价空间的共同分位评分，与原文的似然选择及大规模调参设置有所区别。</w:t>
      </w:r>
    </w:p>
    <w:p>
      <w:pPr>
        <w:pStyle w:val="Normal"/>
        <w:jc w:val="both"/>
        <w:rPr/>
      </w:pPr>
      <w:r>
        <w:rPr/>
        <w:t xml:space="preserve">当前实验采用双精度解析逆分布函数，不截断 </w:t>
      </w:r>
      <w:r>
        <w:rPr/>
        <w:t xml:space="preserve">sinh </w:t>
      </w:r>
      <w:r>
        <w:rPr/>
        <w:t>自变量或预测值；早期使用截断的结果仅保留为历史记录。</w:t>
      </w:r>
      <w:r>
        <w:rPr/>
        <w:t xml:space="preserve">Johnson SU </w:t>
      </w:r>
      <w:r>
        <w:rPr/>
        <w:t>对偏态厚尾具有较强表达能力，但单一分布族未必能充分表示多状态混合，尾部参数也可能放大极端预测。因此，需要综合考察分位评分、区间覆盖、尖峰误差与数值稳定性。</w:t>
      </w:r>
    </w:p>
    <w:p>
      <w:pPr>
        <w:pStyle w:val="Heading3"/>
        <w:rPr/>
      </w:pPr>
      <w:r>
        <w:rPr/>
        <w:t>2.4.2 LightGBM + CP</w:t>
      </w:r>
      <w:r>
        <w:rPr/>
        <w:t>：冻结树中心的对称校准</w:t>
      </w:r>
    </w:p>
    <w:p>
      <w:pPr>
        <w:pStyle w:val="Normal"/>
        <w:jc w:val="both"/>
        <w:rPr/>
      </w:pPr>
      <w:r>
        <w:rPr/>
        <w:t xml:space="preserve">LightGBM+CP </w:t>
      </w:r>
      <w:r>
        <w:rPr/>
        <w:t xml:space="preserve">将非线性中心预测与区间校准分为两个阶段。首先冻结 </w:t>
      </w:r>
      <w:r>
        <w:rPr/>
        <w:t xml:space="preserve">LightGBM </w:t>
      </w:r>
      <w:r>
        <w:rPr/>
        <w:t xml:space="preserve">基础模型，然后利用 </w:t>
      </w:r>
      <w:r>
        <w:rPr/>
        <w:t xml:space="preserve">2022 </w:t>
      </w:r>
      <w:r>
        <w:rPr/>
        <w:t xml:space="preserve">年下半年的样本外残差，按预测时距估计对称区间宽度。方法背景包括 </w:t>
      </w:r>
      <w:r>
        <w:rPr/>
        <w:t xml:space="preserve">Lei </w:t>
      </w:r>
      <w:r>
        <w:rPr/>
        <w:t>等（</w:t>
      </w:r>
      <w:r>
        <w:rPr/>
        <w:t>2018</w:t>
      </w:r>
      <w:r>
        <w:rPr/>
        <w:t xml:space="preserve">）的分割共形预测和 </w:t>
      </w:r>
      <w:r>
        <w:rPr/>
        <w:t xml:space="preserve">Lipiecki </w:t>
      </w:r>
      <w:r>
        <w:rPr/>
        <w:t xml:space="preserve">与 </w:t>
      </w:r>
      <w:r>
        <w:rPr/>
        <w:t>Weron</w:t>
      </w:r>
      <w:r>
        <w:rPr/>
        <w:t>（</w:t>
      </w:r>
      <w:r>
        <w:rPr/>
        <w:t>2025</w:t>
      </w:r>
      <w:r>
        <w:rPr/>
        <w:t>）的绝对残差校准；</w:t>
      </w:r>
      <w:r>
        <w:rPr/>
        <w:t xml:space="preserve">Lebedev </w:t>
      </w:r>
      <w:r>
        <w:rPr/>
        <w:t>等（</w:t>
      </w:r>
      <w:r>
        <w:rPr/>
        <w:t>2026</w:t>
      </w:r>
      <w:r>
        <w:rPr/>
        <w:t>）的研究则提供电价不确定性量化的相关比较依据。</w:t>
      </w:r>
      <w:r>
        <w:rPr>
          <w:sz w:val="18"/>
          <w:vertAlign w:val="superscript"/>
        </w:rPr>
        <w:t>[10]</w:t>
      </w:r>
      <w:r>
        <w:rPr/>
        <w:t xml:space="preserve"> </w:t>
      </w:r>
      <w:r>
        <w:rPr>
          <w:sz w:val="18"/>
          <w:vertAlign w:val="superscript"/>
        </w:rPr>
        <w:t>[8]</w:t>
      </w:r>
      <w:r>
        <w:rPr/>
        <w:t xml:space="preserve"> </w:t>
      </w:r>
      <w:r>
        <w:rPr>
          <w:sz w:val="18"/>
          <w:vertAlign w:val="superscript"/>
        </w:rPr>
        <w:t>[9]</w:t>
      </w:r>
      <w:r>
        <w:rPr/>
        <w:t xml:space="preserve"> </w:t>
      </w:r>
      <w:r>
        <w:rPr>
          <w:sz w:val="18"/>
          <w:vertAlign w:val="superscript"/>
        </w:rPr>
        <w:t>[18]</w:t>
      </w:r>
    </w:p>
    <w:p>
      <w:pPr>
        <w:pStyle w:val="Normal"/>
        <w:jc w:val="both"/>
        <w:rPr/>
      </w:pPr>
      <w:r>
        <w:rPr/>
        <w:t xml:space="preserve">校准形式为 </w:t>
      </w:r>
      <w:r>
        <w:rPr/>
        <w:t>q̂τ=q̂base,0.5+sgn(τ−0.5)Q|2τ−1|(|y−q̂base,0.5|)</w:t>
      </w:r>
      <w:r>
        <w:rPr/>
        <w:t xml:space="preserve">。校准前后基础模型的中位预测保持完全一致，因此该对照用于识别区间调整相对于复杂校正结构的独立贡献。其能够缓解总体区间过窄，但不改变中位预测及相应 </w:t>
      </w:r>
      <w:r>
        <w:rPr/>
        <w:t>MAE</w:t>
      </w:r>
      <w:r>
        <w:rPr/>
        <w:t>。同一时距采用固定宽度也限制了模型对不同稀缺状态的适应能力；总体覆盖率与尖峰条件覆盖率应分别评价。</w:t>
      </w:r>
    </w:p>
    <w:p>
      <w:pPr>
        <w:pStyle w:val="Heading3"/>
        <w:rPr/>
      </w:pPr>
      <w:r>
        <w:rPr/>
        <w:t>2.4.3 XGBoost + CP</w:t>
      </w:r>
      <w:r>
        <w:rPr/>
        <w:t>：更换基座的校准归因对照</w:t>
      </w:r>
    </w:p>
    <w:p>
      <w:pPr>
        <w:pStyle w:val="Normal"/>
        <w:jc w:val="both"/>
        <w:rPr/>
      </w:pPr>
      <w:r>
        <w:rPr/>
        <w:t xml:space="preserve">XGBoost+CP </w:t>
      </w:r>
      <w:r>
        <w:rPr/>
        <w:t xml:space="preserve">在冻结 </w:t>
      </w:r>
      <w:r>
        <w:rPr/>
        <w:t xml:space="preserve">XGBoost </w:t>
      </w:r>
      <w:r>
        <w:rPr/>
        <w:t xml:space="preserve">基础模型之上执行绝对残差校准，校准流程与 </w:t>
      </w:r>
      <w:r>
        <w:rPr/>
        <w:t xml:space="preserve">LightGBM+CP </w:t>
      </w:r>
      <w:r>
        <w:rPr/>
        <w:t xml:space="preserve">保持一致。其方法来源包括 </w:t>
      </w:r>
      <w:r>
        <w:rPr/>
        <w:t xml:space="preserve">Chen </w:t>
      </w:r>
      <w:r>
        <w:rPr/>
        <w:t xml:space="preserve">与 </w:t>
      </w:r>
      <w:r>
        <w:rPr/>
        <w:t>Guestrin</w:t>
      </w:r>
      <w:r>
        <w:rPr/>
        <w:t>（</w:t>
      </w:r>
      <w:r>
        <w:rPr/>
        <w:t>2016</w:t>
      </w:r>
      <w:r>
        <w:rPr/>
        <w:t>）的树提升、</w:t>
      </w:r>
      <w:r>
        <w:rPr/>
        <w:t xml:space="preserve">Lei </w:t>
      </w:r>
      <w:r>
        <w:rPr/>
        <w:t>等（</w:t>
      </w:r>
      <w:r>
        <w:rPr/>
        <w:t>2018</w:t>
      </w:r>
      <w:r>
        <w:rPr/>
        <w:t xml:space="preserve">）的分割共形预测及 </w:t>
      </w:r>
      <w:r>
        <w:rPr/>
        <w:t xml:space="preserve">Lipiecki </w:t>
      </w:r>
      <w:r>
        <w:rPr/>
        <w:t xml:space="preserve">与 </w:t>
      </w:r>
      <w:r>
        <w:rPr/>
        <w:t>Weron</w:t>
      </w:r>
      <w:r>
        <w:rPr/>
        <w:t>（</w:t>
      </w:r>
      <w:r>
        <w:rPr/>
        <w:t>2025</w:t>
      </w:r>
      <w:r>
        <w:rPr/>
        <w:t>）的校准实现。</w:t>
      </w:r>
      <w:r>
        <w:rPr/>
        <w:t xml:space="preserve">Lebedev </w:t>
      </w:r>
      <w:r>
        <w:rPr/>
        <w:t>等（</w:t>
      </w:r>
      <w:r>
        <w:rPr/>
        <w:t>2026</w:t>
      </w:r>
      <w:r>
        <w:rPr/>
        <w:t>）对电价预测不确定性方法的比较构成相关研究背景。</w:t>
      </w:r>
      <w:r>
        <w:rPr>
          <w:sz w:val="18"/>
          <w:vertAlign w:val="superscript"/>
        </w:rPr>
        <w:t>[11]</w:t>
      </w:r>
      <w:r>
        <w:rPr/>
        <w:t xml:space="preserve"> </w:t>
      </w:r>
      <w:r>
        <w:rPr>
          <w:sz w:val="18"/>
          <w:vertAlign w:val="superscript"/>
        </w:rPr>
        <w:t>[8]</w:t>
      </w:r>
      <w:r>
        <w:rPr/>
        <w:t xml:space="preserve"> </w:t>
      </w:r>
      <w:r>
        <w:rPr>
          <w:sz w:val="18"/>
          <w:vertAlign w:val="superscript"/>
        </w:rPr>
        <w:t>[9]</w:t>
      </w:r>
      <w:r>
        <w:rPr/>
        <w:t xml:space="preserve"> </w:t>
      </w:r>
      <w:r>
        <w:rPr>
          <w:sz w:val="18"/>
          <w:vertAlign w:val="superscript"/>
        </w:rPr>
        <w:t>[18]</w:t>
      </w:r>
    </w:p>
    <w:p>
      <w:pPr>
        <w:pStyle w:val="Normal"/>
        <w:jc w:val="both"/>
        <w:rPr/>
      </w:pPr>
      <w:r>
        <w:rPr/>
        <w:t xml:space="preserve">该模型使用 </w:t>
      </w:r>
      <w:r>
        <w:rPr/>
        <w:t xml:space="preserve">2022 </w:t>
      </w:r>
      <w:r>
        <w:rPr/>
        <w:t>年下半年的绝对误差经验分位生成逐时距对称区间，测试阶段固定区间宽度和基础模型参数，中位预测保持不变。通过更换基础模型而控制校准方案，可以分析校准收益对树算法的依赖程度。固定残差宽度无法消除中心偏差；当误差集中于少数供需失衡状态时，可能同时出现常态区间偏宽和尖峰区间覆盖不足，因而总体校准与尖峰预测能力需要分别检验。</w:t>
      </w:r>
    </w:p>
    <w:p>
      <w:pPr>
        <w:pStyle w:val="Heading3"/>
        <w:rPr/>
      </w:pPr>
      <w:r>
        <w:rPr/>
        <w:t>2.4.4 LightGBM + QRA</w:t>
      </w:r>
      <w:r>
        <w:rPr/>
        <w:t>：允许中心移动的线性后校准</w:t>
      </w:r>
    </w:p>
    <w:p>
      <w:pPr>
        <w:pStyle w:val="Normal"/>
        <w:jc w:val="both"/>
        <w:rPr/>
      </w:pPr>
      <w:r>
        <w:rPr/>
        <w:t>分位回归平均（</w:t>
      </w:r>
      <w:r>
        <w:rPr/>
        <w:t>QRA</w:t>
      </w:r>
      <w:r>
        <w:rPr/>
        <w:t xml:space="preserve">）由 </w:t>
      </w:r>
      <w:r>
        <w:rPr/>
        <w:t xml:space="preserve">Nowotarski </w:t>
      </w:r>
      <w:r>
        <w:rPr/>
        <w:t xml:space="preserve">与 </w:t>
      </w:r>
      <w:r>
        <w:rPr/>
        <w:t>Weron</w:t>
      </w:r>
      <w:r>
        <w:rPr/>
        <w:t>（</w:t>
      </w:r>
      <w:r>
        <w:rPr/>
        <w:t>2015</w:t>
      </w:r>
      <w:r>
        <w:rPr/>
        <w:t xml:space="preserve">）提出，利用多个模型的点预测作为解释变量，构建 </w:t>
      </w:r>
      <w:r>
        <w:rPr/>
        <w:t>q̂τ=βτ,0+Σkβτ,k f̂k</w:t>
      </w:r>
      <w:r>
        <w:rPr/>
        <w:t>，并通过最小化分位损失估计组合权重。该方法把预测组合与概率校准结合起来，是电价概率预测中的重要参照；</w:t>
      </w:r>
      <w:r>
        <w:rPr/>
        <w:t xml:space="preserve">Lebedev </w:t>
      </w:r>
      <w:r>
        <w:rPr/>
        <w:t>等（</w:t>
      </w:r>
      <w:r>
        <w:rPr/>
        <w:t>2026</w:t>
      </w:r>
      <w:r>
        <w:rPr/>
        <w:t>）进一步讨论了相关不确定性估计方法的比较。</w:t>
      </w:r>
      <w:r>
        <w:rPr>
          <w:sz w:val="18"/>
          <w:vertAlign w:val="superscript"/>
        </w:rPr>
        <w:t>[10]</w:t>
      </w:r>
      <w:r>
        <w:rPr/>
        <w:t xml:space="preserve"> </w:t>
      </w:r>
      <w:r>
        <w:rPr>
          <w:sz w:val="18"/>
          <w:vertAlign w:val="superscript"/>
        </w:rPr>
        <w:t>[19]</w:t>
      </w:r>
      <w:r>
        <w:rPr/>
        <w:t xml:space="preserve"> </w:t>
      </w:r>
      <w:r>
        <w:rPr>
          <w:sz w:val="18"/>
          <w:vertAlign w:val="superscript"/>
        </w:rPr>
        <w:t>[18]</w:t>
      </w:r>
    </w:p>
    <w:p>
      <w:pPr>
        <w:pStyle w:val="Normal"/>
        <w:jc w:val="both"/>
        <w:rPr/>
      </w:pPr>
      <w:r>
        <w:rPr/>
        <w:t xml:space="preserve">本研究将 </w:t>
      </w:r>
      <w:r>
        <w:rPr/>
        <w:t xml:space="preserve">QRA </w:t>
      </w:r>
      <w:r>
        <w:rPr/>
        <w:t xml:space="preserve">的输入改为单个冻结 </w:t>
      </w:r>
      <w:r>
        <w:rPr/>
        <w:t xml:space="preserve">LightGBM </w:t>
      </w:r>
      <w:r>
        <w:rPr/>
        <w:t xml:space="preserve">模型的五个排序后分位及截距，构成六维设计矩阵。在 </w:t>
      </w:r>
      <w:r>
        <w:rPr/>
        <w:t xml:space="preserve">2022 </w:t>
      </w:r>
      <w:r>
        <w:rPr/>
        <w:t xml:space="preserve">年下半年校准集上，逐时距、逐分位求解无正则线性规划，测试阶段固定系数。该适配允许中位预测与区间非对称性同时变化，从而区别于仅调整宽度的 </w:t>
      </w:r>
      <w:r>
        <w:rPr/>
        <w:t>CP</w:t>
      </w:r>
      <w:r>
        <w:rPr/>
        <w:t>。由于校准器仍是预测特征的线性映射，其稳定性依赖尾部样本数量与校准期代表性；与复杂校正模型的比较应控制校准信息预算。</w:t>
      </w:r>
    </w:p>
    <w:p>
      <w:pPr>
        <w:pStyle w:val="Heading3"/>
        <w:rPr/>
      </w:pPr>
      <w:r>
        <w:rPr/>
        <w:t>2.4.5 NHITS + MC-dropout + QRA</w:t>
      </w:r>
      <w:r>
        <w:rPr/>
        <w:t>：多尺度骨干与后校准</w:t>
      </w:r>
    </w:p>
    <w:p>
      <w:pPr>
        <w:pStyle w:val="Normal"/>
        <w:jc w:val="both"/>
        <w:rPr/>
      </w:pPr>
      <w:r>
        <w:rPr/>
        <w:t>NHITS</w:t>
      </w:r>
      <w:r>
        <w:rPr/>
        <w:t>（</w:t>
      </w:r>
      <w:r>
        <w:rPr/>
        <w:t xml:space="preserve">Challu </w:t>
      </w:r>
      <w:r>
        <w:rPr/>
        <w:t>等，</w:t>
      </w:r>
      <w:r>
        <w:rPr/>
        <w:t>2023</w:t>
      </w:r>
      <w:r>
        <w:rPr/>
        <w:t>）结合多速率池化、层级插值和残差回投，在不同频率尺度上逐块重建历史并累加预测。</w:t>
      </w:r>
      <w:r>
        <w:rPr/>
        <w:t>MC-dropout</w:t>
      </w:r>
      <w:r>
        <w:rPr/>
        <w:t>（</w:t>
      </w:r>
      <w:r>
        <w:rPr/>
        <w:t xml:space="preserve">Gal </w:t>
      </w:r>
      <w:r>
        <w:rPr/>
        <w:t xml:space="preserve">与 </w:t>
      </w:r>
      <w:r>
        <w:rPr/>
        <w:t>Ghahramani</w:t>
      </w:r>
      <w:r>
        <w:rPr/>
        <w:t>，</w:t>
      </w:r>
      <w:r>
        <w:rPr/>
        <w:t>2016</w:t>
      </w:r>
      <w:r>
        <w:rPr/>
        <w:t>）通过预测阶段的重复随机前向传播近似刻画模型不确定性；</w:t>
      </w:r>
      <w:r>
        <w:rPr/>
        <w:t>QRA</w:t>
      </w:r>
      <w:r>
        <w:rPr/>
        <w:t>（</w:t>
      </w:r>
      <w:r>
        <w:rPr/>
        <w:t xml:space="preserve">Nowotarski </w:t>
      </w:r>
      <w:r>
        <w:rPr/>
        <w:t xml:space="preserve">与 </w:t>
      </w:r>
      <w:r>
        <w:rPr/>
        <w:t>Weron</w:t>
      </w:r>
      <w:r>
        <w:rPr/>
        <w:t>，</w:t>
      </w:r>
      <w:r>
        <w:rPr/>
        <w:t>2015</w:t>
      </w:r>
      <w:r>
        <w:rPr/>
        <w:t>）则将预测特征映射为条件分位。</w:t>
      </w:r>
      <w:r>
        <w:rPr/>
        <w:t xml:space="preserve">Lettner </w:t>
      </w:r>
      <w:r>
        <w:rPr/>
        <w:t>等（</w:t>
      </w:r>
      <w:r>
        <w:rPr/>
        <w:t>2026</w:t>
      </w:r>
      <w:r>
        <w:rPr/>
        <w:t>）分别从性能—效率权衡和校准挑战角度研究了电价概率预测，为该组合提供应用依据。</w:t>
      </w:r>
      <w:r>
        <w:rPr>
          <w:sz w:val="18"/>
          <w:vertAlign w:val="superscript"/>
        </w:rPr>
        <w:t>[20]</w:t>
      </w:r>
      <w:r>
        <w:rPr/>
        <w:t xml:space="preserve"> </w:t>
      </w:r>
      <w:r>
        <w:rPr>
          <w:sz w:val="18"/>
          <w:vertAlign w:val="superscript"/>
        </w:rPr>
        <w:t>[21]</w:t>
      </w:r>
      <w:r>
        <w:rPr/>
        <w:t xml:space="preserve"> </w:t>
      </w:r>
      <w:r>
        <w:rPr>
          <w:sz w:val="18"/>
          <w:vertAlign w:val="superscript"/>
        </w:rPr>
        <w:t>[19]</w:t>
      </w:r>
      <w:r>
        <w:rPr/>
        <w:t xml:space="preserve"> </w:t>
      </w:r>
      <w:r>
        <w:rPr>
          <w:sz w:val="18"/>
          <w:vertAlign w:val="superscript"/>
        </w:rPr>
        <w:t>[22]</w:t>
      </w:r>
      <w:r>
        <w:rPr/>
        <w:t xml:space="preserve"> </w:t>
      </w:r>
      <w:r>
        <w:rPr>
          <w:sz w:val="18"/>
          <w:vertAlign w:val="superscript"/>
        </w:rPr>
        <w:t>[23]</w:t>
      </w:r>
    </w:p>
    <w:p>
      <w:pPr>
        <w:pStyle w:val="Normal"/>
        <w:jc w:val="both"/>
        <w:rPr/>
      </w:pPr>
      <w:r>
        <w:rPr/>
        <w:t xml:space="preserve">本研究移植官方 </w:t>
      </w:r>
      <w:r>
        <w:rPr/>
        <w:t xml:space="preserve">NHITS </w:t>
      </w:r>
      <w:r>
        <w:rPr/>
        <w:t xml:space="preserve">骨干，保留最大池化、插值、残差回投及最后观测值初始化，并将七组公共输入映射至历史、未来和静态外生接口。首先以 </w:t>
      </w:r>
      <w:r>
        <w:rPr/>
        <w:t xml:space="preserve">MAE </w:t>
      </w:r>
      <w:r>
        <w:rPr/>
        <w:t xml:space="preserve">训练并选择点预测模型，然后固定随机种子进行 </w:t>
      </w:r>
      <w:r>
        <w:rPr/>
        <w:t xml:space="preserve">20 </w:t>
      </w:r>
      <w:r>
        <w:rPr/>
        <w:t xml:space="preserve">次 </w:t>
      </w:r>
      <w:r>
        <w:rPr/>
        <w:t>MC-dropout</w:t>
      </w:r>
      <w:r>
        <w:rPr/>
        <w:t xml:space="preserve">，仅启用 </w:t>
      </w:r>
      <w:r>
        <w:rPr/>
        <w:t xml:space="preserve">dropout </w:t>
      </w:r>
      <w:r>
        <w:rPr/>
        <w:t xml:space="preserve">层的随机性。样本经验分位作为 </w:t>
      </w:r>
      <w:r>
        <w:rPr/>
        <w:t xml:space="preserve">QRA </w:t>
      </w:r>
      <w:r>
        <w:rPr/>
        <w:t xml:space="preserve">特征，在 </w:t>
      </w:r>
      <w:r>
        <w:rPr/>
        <w:t xml:space="preserve">2022 </w:t>
      </w:r>
      <w:r>
        <w:rPr/>
        <w:t>年下半年拟合无正则线性规划校准器，测试阶段固定系数。</w:t>
      </w:r>
    </w:p>
    <w:p>
      <w:pPr>
        <w:pStyle w:val="Normal"/>
        <w:jc w:val="both"/>
        <w:rPr/>
      </w:pPr>
      <w:r>
        <w:rPr/>
        <w:t>该组合依据统一实验协议进行适配，其采样、特征和选择设置与既有电价研究有所区别。多尺度表示适合刻画不同频率的价格变化，但池化和插值可能平滑短促尖峰。</w:t>
      </w:r>
      <w:r>
        <w:rPr/>
        <w:t xml:space="preserve">MC-dropout </w:t>
      </w:r>
      <w:r>
        <w:rPr/>
        <w:t>的离散度也不等同于全部数据噪声，而后续校准依赖有限样本及校准期尾部事件的代表性，需通过尖峰子集与覆盖诊断评估其局限。</w:t>
      </w:r>
    </w:p>
    <w:p>
      <w:pPr>
        <w:pStyle w:val="Heading2"/>
        <w:rPr/>
      </w:pPr>
      <w:bookmarkStart w:id="11" w:name="__RefHeading___Toc4029_610684220"/>
      <w:bookmarkEnd w:id="11"/>
      <w:r>
        <w:rPr/>
        <w:t xml:space="preserve">2.5 </w:t>
      </w:r>
      <w:r>
        <w:rPr/>
        <w:t>预训练基础模型</w:t>
      </w:r>
    </w:p>
    <w:p>
      <w:pPr>
        <w:pStyle w:val="Heading3"/>
        <w:rPr/>
      </w:pPr>
      <w:r>
        <w:rPr/>
        <w:t>2.5.1 TabPFN-3</w:t>
      </w:r>
      <w:r>
        <w:rPr/>
        <w:t>：冻结表格基础模型与上下文回归</w:t>
      </w:r>
    </w:p>
    <w:p>
      <w:pPr>
        <w:pStyle w:val="Normal"/>
        <w:jc w:val="both"/>
        <w:rPr/>
      </w:pPr>
      <w:r>
        <w:rPr/>
        <w:t>TabPFN-3</w:t>
      </w:r>
      <w:r>
        <w:rPr/>
        <w:t>（</w:t>
      </w:r>
      <w:r>
        <w:rPr/>
        <w:t xml:space="preserve">Grinsztajn </w:t>
      </w:r>
      <w:r>
        <w:rPr/>
        <w:t>等，</w:t>
      </w:r>
      <w:r>
        <w:rPr/>
        <w:t>2026</w:t>
      </w:r>
      <w:r>
        <w:rPr/>
        <w:t xml:space="preserve">）属于在合成任务上预训练的表格基础模型。模型通过带标签支持样本进行上下文推断，其预测形式为 </w:t>
      </w:r>
      <w:r>
        <w:rPr/>
        <w:t>pθ(y</w:t>
      </w:r>
      <w:r>
        <w:rPr/>
        <w:t>查询</w:t>
      </w:r>
      <w:r>
        <w:rPr/>
        <w:t>|x</w:t>
      </w:r>
      <w:r>
        <w:rPr/>
        <w:t>查询</w:t>
      </w:r>
      <w:r>
        <w:rPr/>
        <w:t>,D</w:t>
      </w:r>
      <w:r>
        <w:rPr/>
        <w:t>支持</w:t>
      </w:r>
      <w:r>
        <w:rPr/>
        <w:t>)</w:t>
      </w:r>
      <w:r>
        <w:rPr/>
        <w:t>，任务适配过程中无需更新模型权重。</w:t>
      </w:r>
      <w:r>
        <w:rPr/>
        <w:t xml:space="preserve">Hollmann </w:t>
      </w:r>
      <w:r>
        <w:rPr/>
        <w:t>等（</w:t>
      </w:r>
      <w:r>
        <w:rPr/>
        <w:t>2025</w:t>
      </w:r>
      <w:r>
        <w:rPr/>
        <w:t xml:space="preserve">）提出的第二代 </w:t>
      </w:r>
      <w:r>
        <w:rPr/>
        <w:t xml:space="preserve">TabPFN </w:t>
      </w:r>
      <w:r>
        <w:rPr/>
        <w:t>构成该模型谱系的前期研究。</w:t>
      </w:r>
      <w:r>
        <w:rPr>
          <w:sz w:val="18"/>
          <w:vertAlign w:val="superscript"/>
        </w:rPr>
        <w:t>[24]</w:t>
      </w:r>
      <w:r>
        <w:rPr/>
        <w:t xml:space="preserve"> </w:t>
      </w:r>
      <w:r>
        <w:rPr>
          <w:sz w:val="18"/>
          <w:vertAlign w:val="superscript"/>
        </w:rPr>
        <w:t>[25]</w:t>
      </w:r>
    </w:p>
    <w:p>
      <w:pPr>
        <w:pStyle w:val="Normal"/>
        <w:jc w:val="both"/>
        <w:rPr/>
      </w:pPr>
      <w:r>
        <w:rPr/>
        <w:t xml:space="preserve">本研究固定第三代回归检查点，将七组公共输入展平为 </w:t>
      </w:r>
      <w:r>
        <w:rPr/>
        <w:t xml:space="preserve">1465 </w:t>
      </w:r>
      <w:r>
        <w:rPr/>
        <w:t xml:space="preserve">个特征，并按 </w:t>
      </w:r>
      <w:r>
        <w:rPr/>
        <w:t xml:space="preserve">24 </w:t>
      </w:r>
      <w:r>
        <w:rPr/>
        <w:t>个预测时距构建独立回归任务。训练集标签用于支持上下文，选择集和校准集标签不参与推断，预训练权重保持冻结。模型原生输出包含共同评估所需的五个分位，因此能够参与完整概率评分。</w:t>
      </w:r>
      <w:r>
        <w:rPr/>
        <w:t xml:space="preserve">TabPFN </w:t>
      </w:r>
      <w:r>
        <w:rPr/>
        <w:t>提供了表格非线性学习的基础模型对照，但独立时距任务未显式约束时间轨迹，极端状态的泛化仍受预训练先验与支持集尾部覆盖的共同影响。</w:t>
      </w:r>
    </w:p>
    <w:p>
      <w:pPr>
        <w:pStyle w:val="Heading3"/>
        <w:rPr/>
      </w:pPr>
      <w:r>
        <w:rPr/>
        <w:t>2.5.2 Chronos-2</w:t>
      </w:r>
      <w:r>
        <w:rPr/>
        <w:t>：带协变量的零样本时序基础模型</w:t>
      </w:r>
    </w:p>
    <w:p>
      <w:pPr>
        <w:pStyle w:val="Normal"/>
        <w:jc w:val="both"/>
        <w:rPr/>
      </w:pPr>
      <w:r>
        <w:rPr/>
        <w:t>Chronos-2</w:t>
      </w:r>
      <w:r>
        <w:rPr/>
        <w:t>（</w:t>
      </w:r>
      <w:r>
        <w:rPr/>
        <w:t xml:space="preserve">Ansari </w:t>
      </w:r>
      <w:r>
        <w:rPr/>
        <w:t>等，</w:t>
      </w:r>
      <w:r>
        <w:rPr/>
        <w:t>2025</w:t>
      </w:r>
      <w:r>
        <w:rPr/>
        <w:t>）利用组注意力在相关序列、变量和协变量之间共享信息，支持冻结权重条件下的单变量、多变量与带协变量预测。其训练通过合成多变量结构增强上下文学习能力，拓展了通用时序模型的信息利用范围。</w:t>
      </w:r>
      <w:r>
        <w:rPr>
          <w:sz w:val="18"/>
          <w:vertAlign w:val="superscript"/>
        </w:rPr>
        <w:t>[26]</w:t>
      </w:r>
    </w:p>
    <w:p>
      <w:pPr>
        <w:pStyle w:val="Normal"/>
        <w:jc w:val="both"/>
        <w:rPr/>
      </w:pPr>
      <w:r>
        <w:rPr/>
        <w:t xml:space="preserve">本研究使用固定 </w:t>
      </w:r>
      <w:r>
        <w:rPr/>
        <w:t xml:space="preserve">Chronos-2 </w:t>
      </w:r>
      <w:r>
        <w:rPr/>
        <w:t xml:space="preserve">检查点，逐起点输入过去 </w:t>
      </w:r>
      <w:r>
        <w:rPr/>
        <w:t xml:space="preserve">72 </w:t>
      </w:r>
      <w:r>
        <w:rPr/>
        <w:t xml:space="preserve">小时的价格、历史需求及过去和未来的日历，预测未来 </w:t>
      </w:r>
      <w:r>
        <w:rPr/>
        <w:t xml:space="preserve">24 </w:t>
      </w:r>
      <w:r>
        <w:rPr/>
        <w:t xml:space="preserve">小时。不同起点间不进行交叉学习，也不实施微调或后校准。原生 </w:t>
      </w:r>
      <w:r>
        <w:rPr/>
        <w:t xml:space="preserve">21 </w:t>
      </w:r>
      <w:r>
        <w:rPr/>
        <w:t>个分位级别包含共同五分位，满足概率评分要求。由于接口要求外生变量具备相应历史段，起点上下文及三组仅未来可得的外生输入未接入，故该模型属于受限输入对照。预训练与原生变换可能改善尺度适应，但尾部校准及稀缺信号不完整仍是尖峰预测的限制。</w:t>
      </w:r>
    </w:p>
    <w:p>
      <w:pPr>
        <w:pStyle w:val="Heading3"/>
        <w:rPr/>
      </w:pPr>
      <w:r>
        <w:rPr/>
        <w:t>2.5.3 Moirai 2.0</w:t>
      </w:r>
      <w:r>
        <w:rPr/>
        <w:t>：解码器式多分位零样本模型</w:t>
      </w:r>
    </w:p>
    <w:p>
      <w:pPr>
        <w:pStyle w:val="Normal"/>
        <w:jc w:val="both"/>
        <w:rPr/>
      </w:pPr>
      <w:r>
        <w:rPr/>
        <w:t>Moirai 2.0</w:t>
      </w:r>
      <w:r>
        <w:rPr/>
        <w:t>（</w:t>
      </w:r>
      <w:r>
        <w:rPr/>
        <w:t xml:space="preserve">Liu </w:t>
      </w:r>
      <w:r>
        <w:rPr/>
        <w:t>等，</w:t>
      </w:r>
      <w:r>
        <w:rPr/>
        <w:t>2025</w:t>
      </w:r>
      <w:r>
        <w:rPr/>
        <w:t>；</w:t>
      </w:r>
      <w:r>
        <w:rPr/>
        <w:t xml:space="preserve">2026 </w:t>
      </w:r>
      <w:r>
        <w:rPr/>
        <w:t xml:space="preserve">年修订）采用解码器式 </w:t>
      </w:r>
      <w:r>
        <w:rPr/>
        <w:t>Transformer</w:t>
      </w:r>
      <w:r>
        <w:rPr/>
        <w:t xml:space="preserve">、单一片段尺度和分位损失，通过多标记预测与递归多分位解码提高推断效率。相较于早期 </w:t>
      </w:r>
      <w:r>
        <w:rPr/>
        <w:t>Moirai</w:t>
      </w:r>
      <w:r>
        <w:rPr/>
        <w:t>，其结构由掩码编码器与混合分布输出转向直接多分位预测。</w:t>
      </w:r>
      <w:r>
        <w:rPr>
          <w:sz w:val="18"/>
          <w:vertAlign w:val="superscript"/>
        </w:rPr>
        <w:t>[27]</w:t>
      </w:r>
    </w:p>
    <w:p>
      <w:pPr>
        <w:pStyle w:val="Normal"/>
        <w:jc w:val="both"/>
        <w:rPr/>
      </w:pPr>
      <w:r>
        <w:rPr/>
        <w:t xml:space="preserve">本研究使用固定的 </w:t>
      </w:r>
      <w:r>
        <w:rPr/>
        <w:t xml:space="preserve">Moirai 2.0-R-small </w:t>
      </w:r>
      <w:r>
        <w:rPr/>
        <w:t xml:space="preserve">权重和配套实现，输入价格历史、历史需求以及覆盖过去和未来的日历。起点上下文与仅未来可得的外生输入未接入，因而属于受限输入零样本设置。其原生分位范围为 </w:t>
      </w:r>
      <w:r>
        <w:rPr/>
        <w:t xml:space="preserve">0.1 </w:t>
      </w:r>
      <w:r>
        <w:rPr/>
        <w:t xml:space="preserve">至 </w:t>
      </w:r>
      <w:r>
        <w:rPr/>
        <w:t>0.9</w:t>
      </w:r>
      <w:r>
        <w:rPr/>
        <w:t xml:space="preserve">，缺少共同概率评分所需的 </w:t>
      </w:r>
      <w:r>
        <w:rPr/>
        <w:t xml:space="preserve">0.05 </w:t>
      </w:r>
      <w:r>
        <w:rPr/>
        <w:t xml:space="preserve">与 </w:t>
      </w:r>
      <w:r>
        <w:rPr/>
        <w:t xml:space="preserve">0.95 </w:t>
      </w:r>
      <w:r>
        <w:rPr/>
        <w:t>分位。因此，统一比较使用原生中位数计算点预测指标，</w:t>
      </w:r>
      <w:r>
        <w:rPr/>
        <w:t xml:space="preserve">0.1 </w:t>
      </w:r>
      <w:r>
        <w:rPr/>
        <w:t xml:space="preserve">与 </w:t>
      </w:r>
      <w:r>
        <w:rPr/>
        <w:t xml:space="preserve">0.9 </w:t>
      </w:r>
      <w:r>
        <w:rPr/>
        <w:t>分位仅用于辅助诊断。该设置反映了通用先验在电价任务上的迁移能力，但不足以直接评价共同尾部分位下的区间质量。</w:t>
      </w:r>
    </w:p>
    <w:p>
      <w:pPr>
        <w:pStyle w:val="Heading3"/>
        <w:rPr/>
      </w:pPr>
      <w:r>
        <w:rPr/>
        <w:t>2.5.4 TimesFM-2.5 + XReg</w:t>
      </w:r>
      <w:r>
        <w:rPr/>
        <w:t>：残差基础模型与逐起点回归</w:t>
      </w:r>
    </w:p>
    <w:p>
      <w:pPr>
        <w:pStyle w:val="Normal"/>
        <w:jc w:val="both"/>
        <w:rPr/>
      </w:pPr>
      <w:r>
        <w:rPr/>
        <w:t>TimesFM</w:t>
      </w:r>
      <w:r>
        <w:rPr/>
        <w:t>（</w:t>
      </w:r>
      <w:r>
        <w:rPr/>
        <w:t xml:space="preserve">Das </w:t>
      </w:r>
      <w:r>
        <w:rPr/>
        <w:t>等，</w:t>
      </w:r>
      <w:r>
        <w:rPr/>
        <w:t>2024</w:t>
      </w:r>
      <w:r>
        <w:rPr/>
        <w:t xml:space="preserve">）以片段化输入和解码器式预训练实现通用时间序列预测。本研究采用后续发布的 </w:t>
      </w:r>
      <w:r>
        <w:rPr/>
        <w:t xml:space="preserve">TimesFM-2.5 200M </w:t>
      </w:r>
      <w:r>
        <w:rPr/>
        <w:t xml:space="preserve">检查点，并结合官方 </w:t>
      </w:r>
      <w:r>
        <w:rPr/>
        <w:t xml:space="preserve">XReg </w:t>
      </w:r>
      <w:r>
        <w:rPr/>
        <w:t xml:space="preserve">路径引入协变量。该检查点与原始 </w:t>
      </w:r>
      <w:r>
        <w:rPr/>
        <w:t xml:space="preserve">ICML </w:t>
      </w:r>
      <w:r>
        <w:rPr/>
        <w:t>版本属于同一模型谱系，但代际与具体输出能力有所区别。</w:t>
      </w:r>
      <w:r>
        <w:rPr>
          <w:sz w:val="18"/>
          <w:vertAlign w:val="superscript"/>
        </w:rPr>
        <w:t>[28]</w:t>
      </w:r>
    </w:p>
    <w:p>
      <w:pPr>
        <w:pStyle w:val="Normal"/>
        <w:jc w:val="both"/>
        <w:rPr/>
      </w:pPr>
      <w:r>
        <w:rPr/>
        <w:t xml:space="preserve">XReg </w:t>
      </w:r>
      <w:r>
        <w:rPr/>
        <w:t xml:space="preserve">在每个预测起点的合法 </w:t>
      </w:r>
      <w:r>
        <w:rPr/>
        <w:t xml:space="preserve">72 </w:t>
      </w:r>
      <w:r>
        <w:rPr/>
        <w:t xml:space="preserve">小时历史上独立拟合回归，扣除协变量效应后由 </w:t>
      </w:r>
      <w:r>
        <w:rPr/>
        <w:t xml:space="preserve">TimesFM </w:t>
      </w:r>
      <w:r>
        <w:rPr/>
        <w:t>预测残差，再将未来协变量效应等量加回各分位通道：</w:t>
      </w:r>
      <w:r>
        <w:rPr/>
        <w:t>q̂τ=X</w:t>
      </w:r>
      <w:r>
        <w:rPr/>
        <w:t>未来</w:t>
      </w:r>
      <w:r>
        <w:rPr/>
        <w:t>β̂+q̂TimesFM,τ(</w:t>
      </w:r>
      <w:r>
        <w:rPr/>
        <w:t>残差历史</w:t>
      </w:r>
      <w:r>
        <w:rPr/>
        <w:t>)</w:t>
      </w:r>
      <w:r>
        <w:rPr/>
        <w:t>。逐起点拟合保证参数估计仅依赖该起点已知历史。日历变量可完整接入；静态气价在逐起点中心化后被消除，需求及仅未来可得的外生输入未接入。</w:t>
      </w:r>
    </w:p>
    <w:p>
      <w:pPr>
        <w:pStyle w:val="Normal"/>
        <w:jc w:val="both"/>
        <w:rPr/>
      </w:pPr>
      <w:r>
        <w:rPr/>
        <w:t xml:space="preserve">原生输出包括均值及 </w:t>
      </w:r>
      <w:r>
        <w:rPr/>
        <w:t xml:space="preserve">0.1 </w:t>
      </w:r>
      <w:r>
        <w:rPr/>
        <w:t xml:space="preserve">至 </w:t>
      </w:r>
      <w:r>
        <w:rPr/>
        <w:t xml:space="preserve">0.9 </w:t>
      </w:r>
      <w:r>
        <w:rPr/>
        <w:t>分位，统一评估采用原生中位数计算点预测指标。当前比较使用无岭正则的回归设置，并关闭正值推断截断以保留负价。短上下文中的冗余日历设计、回归外推和受限输入均可能影响尖峰表现；已有矩阵秩与外推算子诊断提示其敏感性，但尚不足以将所有预测误差归因于数值问题。</w:t>
      </w:r>
    </w:p>
    <w:p>
      <w:pPr>
        <w:pStyle w:val="Heading2"/>
        <w:rPr/>
      </w:pPr>
      <w:bookmarkStart w:id="12" w:name="__RefHeading___Toc4031_610684220"/>
      <w:bookmarkEnd w:id="12"/>
      <w:r>
        <w:rPr/>
        <w:t xml:space="preserve">2.6 </w:t>
      </w:r>
      <w:r>
        <w:rPr/>
        <w:t>现有方法的局限与研究切入点</w:t>
      </w:r>
    </w:p>
    <w:p>
      <w:pPr>
        <w:pStyle w:val="Normal"/>
        <w:jc w:val="both"/>
        <w:rPr/>
      </w:pPr>
      <w:r>
        <w:rPr/>
        <w:t>线性与前馈方法提供了结构简洁的参照，梯度提升树能够有效利用展平后的供需与预调度特征，时序网络则强调局部模式和跨时间依赖。概率校准方法改善区间构造的灵活性，但其实际表现仍受校准样本分布与模型误差结构影响。基础模型具有跨数据迁移潜力，然而输入能力、原生分位数范围及预训练数据边界使其在本文任务中的比较需要分别解释。</w:t>
      </w:r>
    </w:p>
    <w:p>
      <w:pPr>
        <w:pStyle w:val="Normal"/>
        <w:jc w:val="both"/>
        <w:rPr/>
      </w:pPr>
      <w:r>
        <w:rPr/>
        <w:t>这些方法的共同局限在于，整体预测损失与稀有尖峰表现并不必然一致。本文进一步检验成熟历史中的趋势残差和事件残差能否在当前供需条件下提供增量信息，并通过受限校正降低对强基座常态预测的干扰。</w:t>
      </w:r>
      <w:r>
        <w:br w:type="page"/>
      </w:r>
    </w:p>
    <w:p>
      <w:pPr>
        <w:pStyle w:val="Heading1"/>
        <w:rPr/>
      </w:pPr>
      <w:bookmarkStart w:id="13" w:name="__RefHeading___Toc4033_610684220"/>
      <w:bookmarkEnd w:id="13"/>
      <w:r>
        <w:rPr/>
        <w:t>第</w:t>
      </w:r>
      <w:r>
        <w:rPr/>
        <w:t>3</w:t>
      </w:r>
      <w:r>
        <w:rPr/>
        <w:t>章  问题定义与实验设置</w:t>
      </w:r>
    </w:p>
    <w:p>
      <w:pPr>
        <w:pStyle w:val="Heading2"/>
        <w:rPr/>
      </w:pPr>
      <w:bookmarkStart w:id="14" w:name="__RefHeading___Toc4035_610684220"/>
      <w:bookmarkEnd w:id="14"/>
      <w:r>
        <w:rPr/>
        <w:t xml:space="preserve">3.1 </w:t>
      </w:r>
      <w:r>
        <w:rPr/>
        <w:t>滚动多步概率预测任务</w:t>
      </w:r>
    </w:p>
    <w:p>
      <w:pPr>
        <w:pStyle w:val="Normal"/>
        <w:jc w:val="both"/>
        <w:rPr/>
      </w:pPr>
      <w:r>
        <w:rPr/>
        <w:t>设</w:t>
      </w:r>
      <w:r>
        <w:rPr/>
        <w:t>t</w:t>
      </w:r>
      <w:r>
        <w:rPr/>
        <w:t>为预测起点，历史长度</w:t>
      </w:r>
      <w:r>
        <w:rPr/>
        <w:t>L=72</w:t>
      </w:r>
      <w:r>
        <w:rPr/>
        <w:t>，预测长度</w:t>
      </w:r>
      <w:r>
        <w:rPr/>
        <w:t>H=24</w:t>
      </w:r>
      <w:r>
        <w:rPr/>
        <w:t>。输入信息包括历史电价与需求、已知日历、当时可用的供需和预调度预测，以及在相应模型中被允许读取的成熟历史。目标为预测未来</w:t>
      </w:r>
      <w:r>
        <w:rPr/>
        <w:t>24</w:t>
      </w:r>
      <w:r>
        <w:rPr/>
        <w:t>个交付小时的条件分位数：</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6"/>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3-1</w:t>
            </w:r>
            <w:r>
              <w:rPr>
                <w:sz w:val="21"/>
              </w:rPr>
              <w:t>）</w:t>
            </w:r>
          </w:p>
        </w:tc>
      </w:tr>
    </w:tbl>
    <w:p>
      <w:pPr>
        <w:pStyle w:val="Normal"/>
        <w:jc w:val="both"/>
        <w:rPr/>
      </w:pPr>
      <w:r>
        <w:rPr/>
        <w:t>预测步长</w:t>
      </w:r>
      <w:r>
        <w:rPr/>
        <w:t>h=0</w:t>
      </w:r>
      <w:r>
        <w:rPr/>
        <w:t>对应从</w:t>
      </w:r>
      <w:r>
        <w:rPr/>
        <w:t>t</w:t>
      </w:r>
      <w:r>
        <w:rPr/>
        <w:t>开始的交付小时。实验每小时更新一次预测起点，时间统一为</w:t>
      </w:r>
      <w:r>
        <w:rPr/>
        <w:t>AEST</w:t>
      </w:r>
      <w:r>
        <w:rPr/>
        <w:t>（</w:t>
      </w:r>
      <w:r>
        <w:rPr/>
        <w:t>UTC+10</w:t>
      </w:r>
      <w:r>
        <w:rPr/>
        <w:t>），因此该任务属于滚动多步预测，与固定拍卖时刻的一次性日前预测具有不同信息边界。价格单位为</w:t>
      </w:r>
      <w:r>
        <w:rPr/>
        <w:t>AUD/MWh</w:t>
      </w:r>
      <w:r>
        <w:rPr/>
        <w:t>，中位数分位</w:t>
      </w:r>
      <w:r>
        <w:rPr/>
        <w:t>q̂₀.₅</w:t>
      </w:r>
      <w:r>
        <w:rPr/>
        <w:t>作为点预测。</w:t>
      </w:r>
    </w:p>
    <w:p>
      <w:pPr>
        <w:pStyle w:val="Heading2"/>
        <w:rPr/>
      </w:pPr>
      <w:bookmarkStart w:id="15" w:name="__RefHeading___Toc4037_610684220"/>
      <w:bookmarkEnd w:id="15"/>
      <w:r>
        <w:rPr/>
        <w:t xml:space="preserve">3.2 </w:t>
      </w:r>
      <w:r>
        <w:rPr/>
        <w:t>数据来源与输入特征</w:t>
      </w:r>
    </w:p>
    <w:p>
      <w:pPr>
        <w:pStyle w:val="Normal"/>
        <w:jc w:val="both"/>
        <w:rPr/>
      </w:pPr>
      <w:r>
        <w:rPr/>
        <w:t>实验使用澳大利亚国家电力市场</w:t>
      </w:r>
      <w:r>
        <w:rPr/>
        <w:t>NSW1</w:t>
      </w:r>
      <w:r>
        <w:rPr/>
        <w:t>、</w:t>
      </w:r>
      <w:r>
        <w:rPr/>
        <w:t>QLD1</w:t>
      </w:r>
      <w:r>
        <w:rPr/>
        <w:t>和</w:t>
      </w:r>
      <w:r>
        <w:rPr/>
        <w:t>TAS1</w:t>
      </w:r>
      <w:r>
        <w:rPr/>
        <w:t>三个地区的数据，分别对应新南威尔士、昆士兰和塔斯马尼亚。实际价格与需求取自</w:t>
      </w:r>
      <w:r>
        <w:rPr/>
        <w:t>AEMO</w:t>
      </w:r>
      <w:r>
        <w:rPr/>
        <w:t>公开数据及其本地小时序列；外生信息包括燃气背景、预调度价格与需求、备用容量、净负荷以及互联相关预测。</w:t>
      </w:r>
      <w:r>
        <w:rPr>
          <w:sz w:val="18"/>
          <w:vertAlign w:val="superscript"/>
        </w:rPr>
        <w:t>[29]</w:t>
      </w:r>
    </w:p>
    <w:p>
      <w:pPr>
        <w:pStyle w:val="Caption1"/>
        <w:keepNext w:val="true"/>
        <w:rPr/>
      </w:pPr>
      <w:r>
        <w:rPr/>
        <w:t>表</w:t>
      </w:r>
      <w:r>
        <w:rPr/>
        <w:t xml:space="preserve">3-1  </w:t>
      </w:r>
      <w:r>
        <w:rPr/>
        <w:t>公共输入特征及其维度</w:t>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134"/>
        <w:gridCol w:w="6123"/>
      </w:tblGrid>
      <w:tr>
        <w:trPr>
          <w:tblHeader w:val="true"/>
          <w:cantSplit w:val="true"/>
        </w:trPr>
        <w:tc>
          <w:tcPr>
            <w:tcW w:w="170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特征块</w:t>
            </w:r>
          </w:p>
        </w:tc>
        <w:tc>
          <w:tcPr>
            <w:tcW w:w="1134"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维度</w:t>
            </w:r>
          </w:p>
        </w:tc>
        <w:tc>
          <w:tcPr>
            <w:tcW w:w="6123"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变量含义</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历史观测</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72×2</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电价与总需求</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历史日历</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72×10</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小时、星期、年内日期、月份等</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未来日历</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24×10</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交付小时可预先确定的日历变量</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起点背景</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1</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此前</w:t>
            </w:r>
            <w:r>
              <w:rPr>
                <w:b w:val="false"/>
                <w:color w:val="000000"/>
                <w:sz w:val="20"/>
              </w:rPr>
              <w:t>7</w:t>
            </w:r>
            <w:r>
              <w:rPr>
                <w:rFonts w:ascii="Times New Roman" w:hAnsi="Times New Roman"/>
                <w:b w:val="false"/>
                <w:color w:val="000000"/>
                <w:sz w:val="20"/>
              </w:rPr>
              <w:t>个已结束</w:t>
            </w:r>
            <w:r>
              <w:rPr>
                <w:b w:val="false"/>
                <w:color w:val="000000"/>
                <w:sz w:val="20"/>
              </w:rPr>
              <w:t>gas day</w:t>
            </w:r>
            <w:r>
              <w:rPr>
                <w:rFonts w:ascii="Times New Roman" w:hAnsi="Times New Roman"/>
                <w:b w:val="false"/>
                <w:color w:val="000000"/>
                <w:sz w:val="20"/>
              </w:rPr>
              <w:t>的燃气价格对数背景</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未来外生预测</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24×11</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备用容量、预调度及互联预测、数据覆盖标记</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净负荷预测</w:t>
            </w:r>
          </w:p>
        </w:tc>
        <w:tc>
          <w:tcPr>
            <w:tcW w:w="1134" w:type="dxa"/>
            <w:tcBorders/>
            <w:vAlign w:val="center"/>
          </w:tcPr>
          <w:p>
            <w:pPr>
              <w:pStyle w:val="Normal"/>
              <w:keepNext w:val="true"/>
              <w:widowControl w:val="false"/>
              <w:spacing w:lineRule="auto" w:line="264" w:before="40" w:after="40"/>
              <w:ind w:hanging="0"/>
              <w:rPr/>
            </w:pPr>
            <w:r>
              <w:rPr>
                <w:b w:val="false"/>
                <w:color w:val="000000"/>
                <w:sz w:val="20"/>
              </w:rPr>
              <w:t>24×1</w:t>
            </w:r>
          </w:p>
        </w:tc>
        <w:tc>
          <w:tcPr>
            <w:tcW w:w="6123"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供需平衡的趋势背景</w:t>
            </w:r>
          </w:p>
        </w:tc>
      </w:tr>
      <w:tr>
        <w:trPr>
          <w:cantSplit w:val="true"/>
        </w:trPr>
        <w:tc>
          <w:tcPr>
            <w:tcW w:w="1701"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20"/>
              </w:rPr>
              <w:t>容量短缺特征</w:t>
            </w:r>
          </w:p>
        </w:tc>
        <w:tc>
          <w:tcPr>
            <w:tcW w:w="1134" w:type="dxa"/>
            <w:tcBorders>
              <w:bottom w:val="single" w:sz="10" w:space="0" w:color="000000"/>
            </w:tcBorders>
            <w:vAlign w:val="center"/>
          </w:tcPr>
          <w:p>
            <w:pPr>
              <w:pStyle w:val="Normal"/>
              <w:widowControl w:val="false"/>
              <w:spacing w:lineRule="auto" w:line="264" w:before="40" w:after="40"/>
              <w:ind w:hanging="0"/>
              <w:rPr/>
            </w:pPr>
            <w:r>
              <w:rPr>
                <w:b w:val="false"/>
                <w:color w:val="000000"/>
                <w:sz w:val="20"/>
              </w:rPr>
              <w:t>24×3</w:t>
            </w:r>
          </w:p>
        </w:tc>
        <w:tc>
          <w:tcPr>
            <w:tcW w:w="6123"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20"/>
              </w:rPr>
              <w:t>相对训练期</w:t>
            </w:r>
            <w:r>
              <w:rPr>
                <w:b w:val="false"/>
                <w:color w:val="000000"/>
                <w:sz w:val="20"/>
              </w:rPr>
              <w:t>1%</w:t>
            </w:r>
            <w:r>
              <w:rPr>
                <w:rFonts w:ascii="Times New Roman" w:hAnsi="Times New Roman"/>
                <w:b w:val="false"/>
                <w:color w:val="000000"/>
                <w:sz w:val="20"/>
              </w:rPr>
              <w:t>、</w:t>
            </w:r>
            <w:r>
              <w:rPr>
                <w:b w:val="false"/>
                <w:color w:val="000000"/>
                <w:sz w:val="20"/>
              </w:rPr>
              <w:t>5%</w:t>
            </w:r>
            <w:r>
              <w:rPr>
                <w:rFonts w:ascii="Times New Roman" w:hAnsi="Times New Roman"/>
                <w:b w:val="false"/>
                <w:color w:val="000000"/>
                <w:sz w:val="20"/>
              </w:rPr>
              <w:t>、</w:t>
            </w:r>
            <w:r>
              <w:rPr>
                <w:b w:val="false"/>
                <w:color w:val="000000"/>
                <w:sz w:val="20"/>
              </w:rPr>
              <w:t>10%</w:t>
            </w:r>
            <w:r>
              <w:rPr>
                <w:rFonts w:ascii="Times New Roman" w:hAnsi="Times New Roman"/>
                <w:b w:val="false"/>
                <w:color w:val="000000"/>
                <w:sz w:val="20"/>
              </w:rPr>
              <w:t>分位阈值的</w:t>
            </w:r>
            <w:r>
              <w:rPr>
                <w:b w:val="false"/>
                <w:color w:val="000000"/>
                <w:sz w:val="20"/>
              </w:rPr>
              <w:t>shortfall</w:t>
            </w:r>
          </w:p>
        </w:tc>
      </w:tr>
    </w:tbl>
    <w:p>
      <w:pPr>
        <w:pStyle w:val="Normal"/>
        <w:spacing w:before="0" w:after="0"/>
        <w:rPr/>
      </w:pPr>
      <w:r>
        <w:rPr/>
      </w:r>
    </w:p>
    <w:p>
      <w:pPr>
        <w:pStyle w:val="Normal"/>
        <w:jc w:val="both"/>
        <w:rPr/>
      </w:pPr>
      <w:r>
        <w:rPr/>
        <w:t>公共输入展平后为</w:t>
      </w:r>
      <w:r>
        <w:rPr/>
        <w:t>1465</w:t>
      </w:r>
      <w:r>
        <w:rPr/>
        <w:t>维。</w:t>
      </w:r>
      <w:r>
        <w:rPr/>
        <w:t>TabPFN</w:t>
      </w:r>
      <w:r>
        <w:rPr/>
        <w:t>使用完整公共输入，其他三个时序基础模型仅接收其接口所支持的部分变量。当前联合方法进一步读取成熟历史与误差统计，其历史信息范围大于静态基线，因而共同测试样本不意味着完全相同的信息权限。</w:t>
      </w:r>
    </w:p>
    <w:p>
      <w:pPr>
        <w:pStyle w:val="Heading2"/>
        <w:rPr/>
      </w:pPr>
      <w:bookmarkStart w:id="16" w:name="__RefHeading___Toc4039_610684220"/>
      <w:bookmarkEnd w:id="16"/>
      <w:r>
        <w:rPr/>
        <w:t xml:space="preserve">3.3 </w:t>
      </w:r>
      <w:r>
        <w:rPr/>
        <w:t>时间划分与训练协议</w:t>
      </w:r>
    </w:p>
    <w:p>
      <w:pPr>
        <w:pStyle w:val="Caption1"/>
        <w:keepNext w:val="true"/>
        <w:rPr/>
      </w:pPr>
      <w:r>
        <w:rPr/>
        <w:t>表</w:t>
      </w:r>
      <w:r>
        <w:rPr/>
        <w:t xml:space="preserve">3-2  </w:t>
      </w:r>
      <w:r>
        <w:rPr/>
        <w:t>训练、选择、校准与测试区间</w:t>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256"/>
      </w:tblGrid>
      <w:tr>
        <w:trPr>
          <w:tblHeader w:val="true"/>
          <w:cantSplit w:val="true"/>
        </w:trPr>
        <w:tc>
          <w:tcPr>
            <w:tcW w:w="170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阶段</w:t>
            </w:r>
          </w:p>
        </w:tc>
        <w:tc>
          <w:tcPr>
            <w:tcW w:w="7256"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时间范围及用途</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静态训练</w:t>
            </w:r>
          </w:p>
        </w:tc>
        <w:tc>
          <w:tcPr>
            <w:tcW w:w="7256" w:type="dxa"/>
            <w:tcBorders/>
            <w:vAlign w:val="center"/>
          </w:tcPr>
          <w:p>
            <w:pPr>
              <w:pStyle w:val="Normal"/>
              <w:keepNext w:val="true"/>
              <w:widowControl w:val="false"/>
              <w:spacing w:lineRule="auto" w:line="264" w:before="40" w:after="40"/>
              <w:ind w:hanging="0"/>
              <w:rPr/>
            </w:pPr>
            <w:r>
              <w:rPr>
                <w:b w:val="false"/>
                <w:color w:val="000000"/>
                <w:sz w:val="20"/>
              </w:rPr>
              <w:t>2015—2021</w:t>
            </w:r>
            <w:r>
              <w:rPr>
                <w:rFonts w:ascii="Times New Roman" w:hAnsi="Times New Roman"/>
                <w:b w:val="false"/>
                <w:color w:val="000000"/>
                <w:sz w:val="20"/>
              </w:rPr>
              <w:t>年；各模型按固定实现使用训练数据</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选择</w:t>
            </w:r>
          </w:p>
        </w:tc>
        <w:tc>
          <w:tcPr>
            <w:tcW w:w="7256" w:type="dxa"/>
            <w:tcBorders/>
            <w:vAlign w:val="center"/>
          </w:tcPr>
          <w:p>
            <w:pPr>
              <w:pStyle w:val="Normal"/>
              <w:keepNext w:val="true"/>
              <w:widowControl w:val="false"/>
              <w:spacing w:lineRule="auto" w:line="264" w:before="40" w:after="40"/>
              <w:ind w:hanging="0"/>
              <w:rPr/>
            </w:pPr>
            <w:r>
              <w:rPr>
                <w:b w:val="false"/>
                <w:color w:val="000000"/>
                <w:sz w:val="20"/>
              </w:rPr>
              <w:t>2022</w:t>
            </w:r>
            <w:r>
              <w:rPr>
                <w:rFonts w:ascii="Times New Roman" w:hAnsi="Times New Roman"/>
                <w:b w:val="false"/>
                <w:color w:val="000000"/>
                <w:sz w:val="20"/>
              </w:rPr>
              <w:t>年上半年；确定检查点、轮数或既定选择参数</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校准</w:t>
            </w:r>
          </w:p>
        </w:tc>
        <w:tc>
          <w:tcPr>
            <w:tcW w:w="7256" w:type="dxa"/>
            <w:tcBorders/>
            <w:vAlign w:val="center"/>
          </w:tcPr>
          <w:p>
            <w:pPr>
              <w:pStyle w:val="Normal"/>
              <w:keepNext w:val="true"/>
              <w:widowControl w:val="false"/>
              <w:spacing w:lineRule="auto" w:line="264" w:before="40" w:after="40"/>
              <w:ind w:hanging="0"/>
              <w:rPr/>
            </w:pPr>
            <w:r>
              <w:rPr>
                <w:b w:val="false"/>
                <w:color w:val="000000"/>
                <w:sz w:val="20"/>
              </w:rPr>
              <w:t>2022</w:t>
            </w:r>
            <w:r>
              <w:rPr>
                <w:rFonts w:ascii="Times New Roman" w:hAnsi="Times New Roman"/>
                <w:b w:val="false"/>
                <w:color w:val="000000"/>
                <w:sz w:val="20"/>
              </w:rPr>
              <w:t>年下半年；供</w:t>
            </w:r>
            <w:r>
              <w:rPr>
                <w:b w:val="false"/>
                <w:color w:val="000000"/>
                <w:sz w:val="20"/>
              </w:rPr>
              <w:t>CP/QRA</w:t>
            </w:r>
            <w:r>
              <w:rPr>
                <w:rFonts w:ascii="Times New Roman" w:hAnsi="Times New Roman"/>
                <w:b w:val="false"/>
                <w:color w:val="000000"/>
                <w:sz w:val="20"/>
              </w:rPr>
              <w:t>等方法按预定流程使用</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正式测试</w:t>
            </w:r>
          </w:p>
        </w:tc>
        <w:tc>
          <w:tcPr>
            <w:tcW w:w="7256" w:type="dxa"/>
            <w:tcBorders/>
            <w:vAlign w:val="center"/>
          </w:tcPr>
          <w:p>
            <w:pPr>
              <w:pStyle w:val="Normal"/>
              <w:keepNext w:val="true"/>
              <w:widowControl w:val="false"/>
              <w:spacing w:lineRule="auto" w:line="264" w:before="40" w:after="40"/>
              <w:ind w:hanging="0"/>
              <w:rPr/>
            </w:pPr>
            <w:r>
              <w:rPr>
                <w:b w:val="false"/>
                <w:color w:val="000000"/>
                <w:sz w:val="20"/>
              </w:rPr>
              <w:t>2023—2024</w:t>
            </w:r>
            <w:r>
              <w:rPr>
                <w:rFonts w:ascii="Times New Roman" w:hAnsi="Times New Roman"/>
                <w:b w:val="false"/>
                <w:color w:val="000000"/>
                <w:sz w:val="20"/>
              </w:rPr>
              <w:t>年；每地区</w:t>
            </w:r>
            <w:r>
              <w:rPr>
                <w:b w:val="false"/>
                <w:color w:val="000000"/>
                <w:sz w:val="20"/>
              </w:rPr>
              <w:t>17,521</w:t>
            </w:r>
            <w:r>
              <w:rPr>
                <w:rFonts w:ascii="Times New Roman" w:hAnsi="Times New Roman"/>
                <w:b w:val="false"/>
                <w:color w:val="000000"/>
                <w:sz w:val="20"/>
              </w:rPr>
              <w:t>个预测起点</w:t>
            </w:r>
          </w:p>
        </w:tc>
      </w:tr>
      <w:tr>
        <w:trPr>
          <w:cantSplit w:val="true"/>
        </w:trPr>
        <w:tc>
          <w:tcPr>
            <w:tcW w:w="170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联合模型训练</w:t>
            </w:r>
          </w:p>
        </w:tc>
        <w:tc>
          <w:tcPr>
            <w:tcW w:w="7256" w:type="dxa"/>
            <w:tcBorders/>
            <w:vAlign w:val="center"/>
          </w:tcPr>
          <w:p>
            <w:pPr>
              <w:pStyle w:val="Normal"/>
              <w:keepNext w:val="true"/>
              <w:widowControl w:val="false"/>
              <w:spacing w:lineRule="auto" w:line="264" w:before="40" w:after="40"/>
              <w:ind w:hanging="0"/>
              <w:rPr/>
            </w:pPr>
            <w:r>
              <w:rPr>
                <w:b w:val="false"/>
                <w:color w:val="000000"/>
                <w:sz w:val="20"/>
              </w:rPr>
              <w:t>2018—2021</w:t>
            </w:r>
            <w:r>
              <w:rPr>
                <w:rFonts w:ascii="Times New Roman" w:hAnsi="Times New Roman"/>
                <w:b w:val="false"/>
                <w:color w:val="000000"/>
                <w:sz w:val="20"/>
              </w:rPr>
              <w:t>年；使用按时间前推生成的</w:t>
            </w:r>
            <w:r>
              <w:rPr>
                <w:b w:val="false"/>
                <w:color w:val="000000"/>
                <w:sz w:val="20"/>
              </w:rPr>
              <w:t>OOF</w:t>
            </w:r>
            <w:r>
              <w:rPr>
                <w:rFonts w:ascii="Times New Roman" w:hAnsi="Times New Roman"/>
                <w:b w:val="false"/>
                <w:color w:val="000000"/>
                <w:sz w:val="20"/>
              </w:rPr>
              <w:t>树预测</w:t>
            </w:r>
          </w:p>
        </w:tc>
      </w:tr>
      <w:tr>
        <w:trPr>
          <w:cantSplit w:val="true"/>
        </w:trPr>
        <w:tc>
          <w:tcPr>
            <w:tcW w:w="1701"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20"/>
              </w:rPr>
              <w:t>历史更新</w:t>
            </w:r>
          </w:p>
        </w:tc>
        <w:tc>
          <w:tcPr>
            <w:tcW w:w="7256"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20"/>
              </w:rPr>
              <w:t>完整</w:t>
            </w:r>
            <w:r>
              <w:rPr>
                <w:b w:val="false"/>
                <w:color w:val="000000"/>
                <w:sz w:val="20"/>
              </w:rPr>
              <w:t>24</w:t>
            </w:r>
            <w:r>
              <w:rPr>
                <w:rFonts w:ascii="Times New Roman" w:hAnsi="Times New Roman"/>
                <w:b w:val="false"/>
                <w:color w:val="000000"/>
                <w:sz w:val="20"/>
              </w:rPr>
              <w:t>小时标签成熟后，才可纳入历史记忆与误差统计</w:t>
            </w:r>
          </w:p>
        </w:tc>
      </w:tr>
    </w:tbl>
    <w:p>
      <w:pPr>
        <w:pStyle w:val="Normal"/>
        <w:spacing w:before="0" w:after="0"/>
        <w:rPr/>
      </w:pPr>
      <w:r>
        <w:rPr/>
      </w:r>
    </w:p>
    <w:p>
      <w:pPr>
        <w:pStyle w:val="Normal"/>
        <w:jc w:val="both"/>
        <w:rPr/>
      </w:pPr>
      <w:r>
        <w:rPr/>
        <w:t>每地区测试包含</w:t>
      </w:r>
      <w:r>
        <w:rPr/>
        <w:t>17,521×24=420,504</w:t>
      </w:r>
      <w:r>
        <w:rPr/>
        <w:t>个起点—步长评分单元。由于窗口重叠，同一交付小时可能对应多个预测提前量，评分单元之间存在相关性。三个种子标签为</w:t>
      </w:r>
      <w:r>
        <w:rPr/>
        <w:t>2026</w:t>
      </w:r>
      <w:r>
        <w:rPr/>
        <w:t>、</w:t>
      </w:r>
      <w:r>
        <w:rPr/>
        <w:t>2027</w:t>
      </w:r>
      <w:r>
        <w:rPr/>
        <w:t>和</w:t>
      </w:r>
      <w:r>
        <w:rPr/>
        <w:t>2028</w:t>
      </w:r>
      <w:r>
        <w:rPr/>
        <w:t>；联合方法仅改变神经初始化和训练顺序，树种子固定为</w:t>
      </w:r>
      <w:r>
        <w:rPr/>
        <w:t>2026</w:t>
      </w:r>
      <w:r>
        <w:rPr/>
        <w:t>。确定性模型的重复结果以及固定树参照不代表独立随机训练。</w:t>
      </w:r>
    </w:p>
    <w:p>
      <w:pPr>
        <w:pStyle w:val="Normal"/>
        <w:jc w:val="both"/>
        <w:rPr/>
      </w:pPr>
      <w:r>
        <w:rPr/>
        <w:t>各模型采用固定配置，未进行统一计算预算下的超参数搜索。当前联合模型训练</w:t>
      </w:r>
      <w:r>
        <w:rPr/>
        <w:t>20</w:t>
      </w:r>
      <w:r>
        <w:rPr/>
        <w:t>轮，全部拟合与检查点选择完成后再评估测试区间；其</w:t>
      </w:r>
      <w:r>
        <w:rPr/>
        <w:t>raw</w:t>
      </w:r>
      <w:r>
        <w:rPr/>
        <w:t>输出与</w:t>
      </w:r>
      <w:r>
        <w:rPr/>
        <w:t>guarded</w:t>
      </w:r>
      <w:r>
        <w:rPr/>
        <w:t>输出采用预先规定的独立选择规则。</w:t>
      </w:r>
    </w:p>
    <w:p>
      <w:pPr>
        <w:pStyle w:val="Heading2"/>
        <w:rPr/>
      </w:pPr>
      <w:bookmarkStart w:id="17" w:name="__RefHeading___Toc4041_610684220"/>
      <w:bookmarkEnd w:id="17"/>
      <w:r>
        <w:rPr/>
        <w:t xml:space="preserve">3.4 </w:t>
      </w:r>
      <w:r>
        <w:rPr/>
        <w:t>评价指标</w:t>
      </w:r>
    </w:p>
    <w:p>
      <w:pPr>
        <w:pStyle w:val="Normal"/>
        <w:jc w:val="both"/>
        <w:rPr/>
      </w:pPr>
      <w:r>
        <w:rPr/>
        <w:t>本文采用平均绝对误差</w:t>
      </w:r>
      <w:r>
        <w:rPr/>
        <w:t>MAE</w:t>
      </w:r>
      <w:r>
        <w:rPr/>
        <w:t>衡量点预测，采用五分位评分</w:t>
      </w:r>
      <w:r>
        <w:rPr/>
        <w:t>QS</w:t>
      </w:r>
      <w:r>
        <w:rPr/>
        <w:t>评价概率输出。定义预测误差</w:t>
      </w:r>
      <w:r>
        <w:rPr/>
        <w:t>u=y−q̂τ</w:t>
      </w:r>
      <w:r>
        <w:rPr/>
        <w:t>，分位损失及指标为：</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7"/>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3-2</w:t>
            </w:r>
            <w:r>
              <w:rPr>
                <w:sz w:val="21"/>
              </w:rPr>
              <w:t>）</w:t>
            </w:r>
          </w:p>
        </w:tc>
      </w:tr>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8"/>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3-3</w:t>
            </w:r>
            <w:r>
              <w:rPr>
                <w:sz w:val="21"/>
              </w:rPr>
              <w:t>）</w:t>
            </w:r>
          </w:p>
        </w:tc>
      </w:tr>
    </w:tbl>
    <w:p>
      <w:pPr>
        <w:pStyle w:val="Normal"/>
        <w:jc w:val="both"/>
        <w:rPr/>
      </w:pPr>
      <w:r>
        <w:rPr/>
        <w:t>QS</w:t>
      </w:r>
      <w:r>
        <w:rPr/>
        <w:t>为公共五个分位水平上的离散评分代理，并非完整分布上的精确</w:t>
      </w:r>
      <w:r>
        <w:rPr/>
        <w:t>CRPS</w:t>
      </w:r>
      <w:r>
        <w:rPr/>
        <w:t>积分。评分前按分位轴排序，</w:t>
      </w:r>
      <w:r>
        <w:rPr/>
        <w:t>Q</w:t>
      </w:r>
      <w:r>
        <w:rPr/>
        <w:t>组使用排序后的中位数；</w:t>
      </w:r>
      <w:r>
        <w:rPr/>
        <w:t>P</w:t>
      </w:r>
      <w:r>
        <w:rPr/>
        <w:t>组仅使用其原生中位数计算点误差。</w:t>
      </w:r>
      <w:r>
        <w:rPr/>
        <w:t>Moirai-2</w:t>
      </w:r>
      <w:r>
        <w:rPr/>
        <w:t>和</w:t>
      </w:r>
      <w:r>
        <w:rPr/>
        <w:t>TimesFM</w:t>
      </w:r>
      <w:r>
        <w:rPr/>
        <w:t>适配器不具备完整公共五分位输出，因此不填补其</w:t>
      </w:r>
      <w:r>
        <w:rPr/>
        <w:t>QS</w:t>
      </w:r>
      <w:r>
        <w:rPr/>
        <w:t>。</w:t>
      </w:r>
    </w:p>
    <w:p>
      <w:pPr>
        <w:pStyle w:val="Normal"/>
        <w:jc w:val="both"/>
        <w:rPr/>
      </w:pPr>
      <w:r>
        <w:rPr/>
        <w:t>RMSE</w:t>
      </w:r>
      <w:r>
        <w:rPr/>
        <w:t>在各地区全部预测单元上计算后取算术平均。</w:t>
      </w:r>
      <w:r>
        <w:rPr/>
        <w:t>80%</w:t>
      </w:r>
      <w:r>
        <w:rPr/>
        <w:t>区间由</w:t>
      </w:r>
      <w:r>
        <w:rPr/>
        <w:t>q̂₀.₁</w:t>
      </w:r>
      <w:r>
        <w:rPr/>
        <w:t>和</w:t>
      </w:r>
      <w:r>
        <w:rPr/>
        <w:t>q̂₀.₉</w:t>
      </w:r>
      <w:r>
        <w:rPr/>
        <w:t>构成，</w:t>
      </w:r>
      <w:r>
        <w:rPr/>
        <w:t>90%</w:t>
      </w:r>
      <w:r>
        <w:rPr/>
        <w:t>区间由</w:t>
      </w:r>
      <w:r>
        <w:rPr/>
        <w:t>q̂₀.₀₅</w:t>
      </w:r>
      <w:r>
        <w:rPr/>
        <w:t>和</w:t>
      </w:r>
      <w:r>
        <w:rPr/>
        <w:t>q̂₀.₉₅</w:t>
      </w:r>
      <w:r>
        <w:rPr/>
        <w:t>构成；覆盖率应与区间宽度联合解释。每个</w:t>
      </w:r>
      <w:r>
        <w:rPr/>
        <w:t>seed</w:t>
      </w:r>
      <w:r>
        <w:rPr/>
        <w:t>先独立评分，再对三个地区等权平均，最后计算三个</w:t>
      </w:r>
      <w:r>
        <w:rPr/>
        <w:t>seed</w:t>
      </w:r>
      <w:r>
        <w:rPr/>
        <w:t>的均值与样本标准差。</w:t>
      </w:r>
    </w:p>
    <w:p>
      <w:pPr>
        <w:pStyle w:val="Heading2"/>
        <w:rPr/>
      </w:pPr>
      <w:bookmarkStart w:id="18" w:name="__RefHeading___Toc4043_610684220"/>
      <w:bookmarkEnd w:id="18"/>
      <w:r>
        <w:rPr/>
        <w:t xml:space="preserve">3.5 </w:t>
      </w:r>
      <w:r>
        <w:rPr/>
        <w:t>尖峰划分与比较边界</w:t>
      </w:r>
    </w:p>
    <w:p>
      <w:pPr>
        <w:pStyle w:val="Normal"/>
        <w:jc w:val="both"/>
        <w:rPr/>
      </w:pPr>
      <w:r>
        <w:rPr/>
        <w:t>价格状态分为负价</w:t>
      </w:r>
      <w:r>
        <w:rPr/>
        <w:t>y&lt;0</w:t>
      </w:r>
      <w:r>
        <w:rPr/>
        <w:t>、常态</w:t>
      </w:r>
      <w:r>
        <w:rPr/>
        <w:t>0≤y≤300</w:t>
      </w:r>
      <w:r>
        <w:rPr/>
        <w:t>以及高价</w:t>
      </w:r>
      <w:r>
        <w:rPr/>
        <w:t>y&gt;300</w:t>
      </w:r>
      <w:r>
        <w:rPr/>
        <w:t>，并在高价内部单独考察极端价格</w:t>
      </w:r>
      <w:r>
        <w:rPr/>
        <w:t>y&gt;1000</w:t>
      </w:r>
      <w:r>
        <w:rPr/>
        <w:t>。高价与极端组存在包含关系，这些阈值属于研究诊断口径，并非市场统一定义。分组只使用实际价格作事后分析，不用于预测时路由或重新选择模型。</w:t>
      </w:r>
    </w:p>
    <w:p>
      <w:pPr>
        <w:pStyle w:val="Normal"/>
        <w:jc w:val="both"/>
        <w:rPr/>
      </w:pPr>
      <w:r>
        <w:rPr/>
        <w:t>该实验属于回顾性比较。外生归档中已保存的来源时间代理均未晚于预测起点，但首次公开时间与后续修订尚未全面审计；预训练基础模型的数据重叠亦未完成审计。因此，当前结果主要支持所保存数据和固定协议下的性能比较，不构成严格实时无泄露或独立盲测的认证。</w:t>
      </w:r>
      <w:r>
        <w:br w:type="page"/>
      </w:r>
    </w:p>
    <w:p>
      <w:pPr>
        <w:pStyle w:val="Heading1"/>
        <w:rPr/>
      </w:pPr>
      <w:bookmarkStart w:id="19" w:name="__RefHeading___Toc4045_610684220"/>
      <w:bookmarkEnd w:id="19"/>
      <w:r>
        <w:rPr/>
        <w:t>第</w:t>
      </w:r>
      <w:r>
        <w:rPr/>
        <w:t>4</w:t>
      </w:r>
      <w:r>
        <w:rPr/>
        <w:t>章  基于成熟历史校正的趋势—事件联合预测方法</w:t>
      </w:r>
    </w:p>
    <w:p>
      <w:pPr>
        <w:pStyle w:val="Heading2"/>
        <w:rPr/>
      </w:pPr>
      <w:bookmarkStart w:id="20" w:name="__RefHeading___Toc4047_610684220"/>
      <w:bookmarkEnd w:id="20"/>
      <w:r>
        <w:rPr/>
        <w:t xml:space="preserve">4.1 </w:t>
      </w:r>
      <w:r>
        <w:rPr/>
        <w:t>设计动机与方法演进</w:t>
      </w:r>
    </w:p>
    <w:p>
      <w:pPr>
        <w:pStyle w:val="Normal"/>
        <w:jc w:val="both"/>
        <w:rPr/>
      </w:pPr>
      <w:r>
        <w:rPr/>
        <w:t>本研究的初始假设是，电价可分解为缓慢变化的趋势与局部事件，两者应通过不同表示建模。原始</w:t>
      </w:r>
      <w:r>
        <w:rPr/>
        <w:t>DualTimesField</w:t>
      </w:r>
      <w:r>
        <w:rPr/>
        <w:t>采用低频趋势场与局部事件原子，其对已知曲线的重建能力为该假设提供了表示层面的依据。</w:t>
      </w:r>
      <w:r>
        <w:rPr>
          <w:sz w:val="18"/>
          <w:vertAlign w:val="superscript"/>
        </w:rPr>
        <w:t>[4]</w:t>
      </w:r>
      <w:r>
        <w:rPr/>
        <w:t>在预测任务中，关键问题进一步转变为：历史分解结果中哪些信息能够在当前市场状态下被可靠迁移。</w:t>
      </w:r>
    </w:p>
    <w:p>
      <w:pPr>
        <w:pStyle w:val="Normal"/>
        <w:jc w:val="both"/>
        <w:rPr/>
      </w:pPr>
      <w:r>
        <w:rPr/>
        <w:t xml:space="preserve">早期静态 </w:t>
      </w:r>
      <w:r>
        <w:rPr/>
        <w:t xml:space="preserve">full/no_fields </w:t>
      </w:r>
      <w:r>
        <w:rPr/>
        <w:t xml:space="preserve">为历史结构对照，与当前 </w:t>
      </w:r>
      <w:r>
        <w:rPr/>
        <w:t xml:space="preserve">Full_joint </w:t>
      </w:r>
      <w:r>
        <w:rPr/>
        <w:t>并非同一模型。</w:t>
      </w:r>
      <w:r>
        <w:rPr/>
        <w:t xml:space="preserve">V3 </w:t>
      </w:r>
      <w:r>
        <w:rPr/>
        <w:t xml:space="preserve">将历史曲线作固定 </w:t>
      </w:r>
      <w:r>
        <w:rPr/>
        <w:t>DCT/</w:t>
      </w:r>
      <w:r>
        <w:rPr/>
        <w:t>高斯基分解，再检索历史先验并接残差树；其核心局限是候选之间的相对相似性尚不足以证明历史本身可信，非空候选被迫归一化、强制叠加的错误先验会把当前预测推离合理价格水平。</w:t>
      </w:r>
      <w:r>
        <w:rPr/>
        <w:t>2023—2024</w:t>
      </w:r>
      <w:r>
        <w:rPr/>
        <w:t>、</w:t>
      </w:r>
      <w:r>
        <w:rPr/>
        <w:t xml:space="preserve">seed 2026 </w:t>
      </w:r>
      <w:r>
        <w:rPr/>
        <w:t xml:space="preserve">的宏 </w:t>
      </w:r>
      <w:r>
        <w:rPr/>
        <w:t xml:space="preserve">MAE </w:t>
      </w:r>
      <w:r>
        <w:rPr/>
        <w:t xml:space="preserve">中，历史特征 </w:t>
      </w:r>
      <w:r>
        <w:rPr/>
        <w:t xml:space="preserve">LightGBM </w:t>
      </w:r>
      <w:r>
        <w:rPr/>
        <w:t xml:space="preserve">为 </w:t>
      </w:r>
      <w:r>
        <w:rPr/>
        <w:t>37.5934</w:t>
      </w:r>
      <w:r>
        <w:rPr/>
        <w:t xml:space="preserve">，共享检索双场为 </w:t>
      </w:r>
      <w:r>
        <w:rPr/>
        <w:t>44.4362</w:t>
      </w:r>
      <w:r>
        <w:rPr/>
        <w:t xml:space="preserve">，条件检索双场为 </w:t>
      </w:r>
      <w:r>
        <w:rPr/>
        <w:t>46.4241</w:t>
      </w:r>
      <w:r>
        <w:rPr/>
        <w:t xml:space="preserve">，原 </w:t>
      </w:r>
      <w:r>
        <w:rPr/>
        <w:t xml:space="preserve">LightGBM </w:t>
      </w:r>
      <w:r>
        <w:rPr/>
        <w:t xml:space="preserve">为 </w:t>
      </w:r>
      <w:r>
        <w:rPr/>
        <w:t>37.0890</w:t>
      </w:r>
      <w:r>
        <w:rPr/>
        <w:t>，说明当时显式双场结构尚未转化为预测增益。</w:t>
      </w:r>
    </w:p>
    <w:p>
      <w:pPr>
        <w:pStyle w:val="Normal"/>
        <w:jc w:val="both"/>
        <w:rPr/>
      </w:pPr>
      <w:r>
        <w:rPr/>
        <w:t xml:space="preserve">V4 </w:t>
      </w:r>
      <w:r>
        <w:rPr/>
        <w:t xml:space="preserve">增加可训练历史表示、当前条件直接预测路径及历史可信度选择，并以时间样本外前端产物训练后续树。完整模型相对强制历史略好（宏 </w:t>
      </w:r>
      <w:r>
        <w:rPr/>
        <w:t xml:space="preserve">MAE 39.4971 </w:t>
      </w:r>
      <w:r>
        <w:rPr/>
        <w:t xml:space="preserve">对 </w:t>
      </w:r>
      <w:r>
        <w:rPr/>
        <w:t>39.7578</w:t>
      </w:r>
      <w:r>
        <w:rPr/>
        <w:t xml:space="preserve">），但仍差于原 </w:t>
      </w:r>
      <w:r>
        <w:rPr/>
        <w:t>LightGBM 37.0890</w:t>
      </w:r>
      <w:r>
        <w:rPr/>
        <w:t>。该对比支持“允许拒绝历史”的必要性线索，尚不足以证明所有模块有效，也不能把残差树训练样本减少等协议差异归因于架构。</w:t>
      </w:r>
    </w:p>
    <w:p>
      <w:pPr>
        <w:pStyle w:val="Normal"/>
        <w:jc w:val="both"/>
        <w:rPr/>
      </w:pPr>
      <w:r>
        <w:rPr/>
        <w:t xml:space="preserve">V5 </w:t>
      </w:r>
      <w:r>
        <w:rPr/>
        <w:t xml:space="preserve">的初始方向是冻结 </w:t>
      </w:r>
      <w:r>
        <w:rPr/>
        <w:t>LightGBM</w:t>
      </w:r>
      <w:r>
        <w:rPr/>
        <w:t>，先用低容量受限位置</w:t>
      </w:r>
      <w:r>
        <w:rPr/>
        <w:t>/</w:t>
      </w:r>
      <w:r>
        <w:rPr/>
        <w:t xml:space="preserve">尺度校正，再检验状态匹配的成熟残差能否超过简单的近期误差统计。历史 </w:t>
      </w:r>
      <w:r>
        <w:rPr/>
        <w:t xml:space="preserve">TE_full </w:t>
      </w:r>
      <w:r>
        <w:rPr/>
        <w:t xml:space="preserve">在此基础上使用冻结 </w:t>
      </w:r>
      <w:r>
        <w:rPr/>
        <w:t>C_roll</w:t>
      </w:r>
      <w:r>
        <w:rPr/>
        <w:t xml:space="preserve">、历史 </w:t>
      </w:r>
      <w:r>
        <w:rPr/>
        <w:t xml:space="preserve">Fourier </w:t>
      </w:r>
      <w:r>
        <w:rPr/>
        <w:t xml:space="preserve">趋势与六个局部脉冲、状态匹配及条件迁移门。它是分阶段冻结链路，而非当前联合模型。其 </w:t>
      </w:r>
      <w:r>
        <w:rPr/>
        <w:t xml:space="preserve">2022 </w:t>
      </w:r>
      <w:r>
        <w:rPr/>
        <w:t xml:space="preserve">年 </w:t>
      </w:r>
      <w:r>
        <w:rPr/>
        <w:t xml:space="preserve">11 </w:t>
      </w:r>
      <w:r>
        <w:rPr/>
        <w:t xml:space="preserve">月回顾性宏 </w:t>
      </w:r>
      <w:r>
        <w:rPr/>
        <w:t xml:space="preserve">MAE </w:t>
      </w:r>
      <w:r>
        <w:rPr/>
        <w:t xml:space="preserve">为 </w:t>
      </w:r>
      <w:r>
        <w:rPr/>
        <w:t>49.9070</w:t>
      </w:r>
      <w:r>
        <w:rPr/>
        <w:t xml:space="preserve">，高于同段 </w:t>
      </w:r>
      <w:r>
        <w:rPr/>
        <w:t>LightGBM 45.3950</w:t>
      </w:r>
      <w:r>
        <w:rPr/>
        <w:t xml:space="preserve">；趋势及事件提案累积了普通时段代价。这段月度结果不能与 </w:t>
      </w:r>
      <w:r>
        <w:rPr/>
        <w:t xml:space="preserve">2023—2024 </w:t>
      </w:r>
      <w:r>
        <w:rPr/>
        <w:t>结果表作绝对数值排名。</w:t>
      </w:r>
    </w:p>
    <w:p>
      <w:pPr>
        <w:pStyle w:val="Normal"/>
        <w:jc w:val="both"/>
        <w:rPr/>
      </w:pPr>
      <w:r>
        <w:rPr/>
        <w:t xml:space="preserve">随后改为 </w:t>
      </w:r>
      <w:r>
        <w:rPr/>
        <w:t>Full_joint</w:t>
      </w:r>
      <w:r>
        <w:rPr/>
        <w:t xml:space="preserve">：以跨年度、时间前推的 </w:t>
      </w:r>
      <w:r>
        <w:rPr/>
        <w:t xml:space="preserve">LightGBM </w:t>
      </w:r>
      <w:r>
        <w:rPr/>
        <w:t>样本外预测作为固定参照，共同训练状态编码、</w:t>
      </w:r>
      <w:r>
        <w:rPr/>
        <w:t xml:space="preserve">Anchor </w:t>
      </w:r>
      <w:r>
        <w:rPr/>
        <w:t xml:space="preserve">校正、历史双场、匹配、事件移动与采用门。历史候选窗口扩展至 </w:t>
      </w:r>
      <w:r>
        <w:rPr/>
        <w:t xml:space="preserve">730 </w:t>
      </w:r>
      <w:r>
        <w:rPr/>
        <w:t xml:space="preserve">天，取消“往年同月同日必须匹配”的条件。当前正式版本在联合模型上进一步加入 </w:t>
      </w:r>
      <w:r>
        <w:rPr/>
        <w:t xml:space="preserve">Anchor </w:t>
      </w:r>
      <w:r>
        <w:rPr/>
        <w:t xml:space="preserve">直接监督、中位数误差约束、相对基础树的移动惩罚，以及分别控制上下尾的非对称尺度头。版本身份为 </w:t>
      </w:r>
      <w:r>
        <w:rPr/>
        <w:t>asymmetric_balance_20261023</w:t>
      </w:r>
      <w:r>
        <w:rPr/>
        <w:t xml:space="preserve">；不能用旧 </w:t>
      </w:r>
      <w:r>
        <w:rPr/>
        <w:t xml:space="preserve">C_roll </w:t>
      </w:r>
      <w:r>
        <w:rPr/>
        <w:t xml:space="preserve">或旧 </w:t>
      </w:r>
      <w:r>
        <w:rPr/>
        <w:t xml:space="preserve">TE_full </w:t>
      </w:r>
      <w:r>
        <w:rPr/>
        <w:t>的结构图描述当前模型。</w:t>
      </w:r>
    </w:p>
    <w:p>
      <w:pPr>
        <w:pStyle w:val="Heading2"/>
        <w:rPr/>
      </w:pPr>
      <w:bookmarkStart w:id="21" w:name="__RefHeading___Toc4049_610684220"/>
      <w:bookmarkEnd w:id="21"/>
      <w:r>
        <w:rPr/>
        <w:t xml:space="preserve">4.2 </w:t>
      </w:r>
      <w:r>
        <w:rPr/>
        <w:t>联合模型总体结构</w:t>
      </w:r>
    </w:p>
    <w:p>
      <w:pPr>
        <w:pStyle w:val="Normal"/>
        <w:jc w:val="both"/>
        <w:rPr/>
      </w:pPr>
      <w:r>
        <w:rPr/>
        <w:t>当前方法由冻结的分位数树基座、非对称</w:t>
      </w:r>
      <w:r>
        <w:rPr/>
        <w:t>Anchor</w:t>
      </w:r>
      <w:r>
        <w:rPr/>
        <w:t>校正和趋势—事件历史残差三个部分构成。基座负责利用全部公共输入形成初始预测；</w:t>
      </w:r>
      <w:r>
        <w:rPr/>
        <w:t>Anchor</w:t>
      </w:r>
      <w:r>
        <w:rPr/>
        <w:t>调整位置与上下尾尺度；历史分支在成熟记录中检索条件相关的误差结构，并生成有界修正。神经模块在统一损失下联合训练，基础树独立拟合且保持冻结。</w:t>
      </w:r>
    </w:p>
    <w:p>
      <w:pPr>
        <w:pStyle w:val="Normal"/>
        <w:keepNext w:val="true"/>
        <w:spacing w:lineRule="auto" w:line="240"/>
        <w:ind w:hanging="0"/>
        <w:jc w:val="center"/>
        <w:rPr/>
      </w:pPr>
      <w:r>
        <w:rPr/>
        <w:drawing>
          <wp:inline distT="0" distB="0" distL="0" distR="0">
            <wp:extent cx="5579745" cy="32048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9"/>
                    <a:stretch>
                      <a:fillRect/>
                    </a:stretch>
                  </pic:blipFill>
                  <pic:spPr bwMode="auto">
                    <a:xfrm>
                      <a:off x="0" y="0"/>
                      <a:ext cx="5579745" cy="3204845"/>
                    </a:xfrm>
                    <a:prstGeom prst="rect">
                      <a:avLst/>
                    </a:prstGeom>
                  </pic:spPr>
                </pic:pic>
              </a:graphicData>
            </a:graphic>
          </wp:inline>
        </w:drawing>
      </w:r>
    </w:p>
    <w:p>
      <w:pPr>
        <w:pStyle w:val="Caption1"/>
        <w:rPr/>
      </w:pPr>
      <w:r>
        <w:rPr/>
        <w:t>图</w:t>
      </w:r>
      <w:r>
        <w:rPr/>
        <w:t xml:space="preserve">4-1  </w:t>
      </w:r>
      <w:r>
        <w:rPr/>
        <w:t>趋势—事件联合预测模型的总体结构</w:t>
      </w:r>
    </w:p>
    <w:p>
      <w:pPr>
        <w:pStyle w:val="Heading2"/>
        <w:rPr/>
      </w:pPr>
      <w:bookmarkStart w:id="22" w:name="__RefHeading___Toc4051_610684220"/>
      <w:bookmarkEnd w:id="22"/>
      <w:r>
        <w:rPr/>
        <w:t xml:space="preserve">4.3 </w:t>
      </w:r>
      <w:r>
        <w:rPr/>
        <w:t>基础分位预测与非对称</w:t>
      </w:r>
      <w:r>
        <w:rPr/>
        <w:t>Anchor</w:t>
      </w:r>
      <w:r>
        <w:rPr/>
        <w:t>校正</w:t>
      </w:r>
    </w:p>
    <w:p>
      <w:pPr>
        <w:pStyle w:val="Normal"/>
        <w:jc w:val="both"/>
        <w:rPr/>
      </w:pPr>
      <w:r>
        <w:rPr/>
        <w:t xml:space="preserve">第一层为每地区独立的 </w:t>
      </w:r>
      <w:r>
        <w:rPr/>
        <w:t xml:space="preserve">LightGBM </w:t>
      </w:r>
      <w:r>
        <w:rPr/>
        <w:t xml:space="preserve">分位数基础模型 </w:t>
      </w:r>
      <w:r>
        <w:rPr/>
        <w:t>B</w:t>
      </w:r>
      <w:r>
        <w:rPr/>
        <w:t>：</w:t>
      </w:r>
      <w:r>
        <w:rPr/>
        <w:t xml:space="preserve">24 </w:t>
      </w:r>
      <w:r>
        <w:rPr/>
        <w:t xml:space="preserve">个预测步长 </w:t>
      </w:r>
      <w:r>
        <w:rPr/>
        <w:t xml:space="preserve">× 5 </w:t>
      </w:r>
      <w:r>
        <w:rPr/>
        <w:t xml:space="preserve">个分位数，共 </w:t>
      </w:r>
      <w:r>
        <w:rPr/>
        <w:t xml:space="preserve">120 </w:t>
      </w:r>
      <w:r>
        <w:rPr/>
        <w:t xml:space="preserve">个 </w:t>
      </w:r>
      <w:r>
        <w:rPr/>
        <w:t>booster</w:t>
      </w:r>
      <w:r>
        <w:rPr/>
        <w:t xml:space="preserve">，接收完整七块公共输入。历史编码器保留有序的 </w:t>
      </w:r>
      <w:r>
        <w:rPr/>
        <w:t xml:space="preserve">72×12 </w:t>
      </w:r>
      <w:r>
        <w:rPr/>
        <w:t xml:space="preserve">价格、负荷和日历块；未来每个小时输入 </w:t>
      </w:r>
      <w:r>
        <w:rPr/>
        <w:t xml:space="preserve">31 </w:t>
      </w:r>
      <w:r>
        <w:rPr/>
        <w:t xml:space="preserve">维，包括日历、预调度和互联信息、净负荷、备用短缺特征、燃气上下文及基础五分位。历史与当前记录共享状态编码器，其默认隐藏宽度为 </w:t>
      </w:r>
      <w:r>
        <w:rPr/>
        <w:t>24</w:t>
      </w:r>
      <w:r>
        <w:rPr/>
        <w:t xml:space="preserve">。基础树独立训练且冻结，不存在“梯度穿过 </w:t>
      </w:r>
      <w:r>
        <w:rPr/>
        <w:t>LightGBM”</w:t>
      </w:r>
      <w:r>
        <w:rPr/>
        <w:t>的端到端训练。</w:t>
      </w:r>
    </w:p>
    <w:p>
      <w:pPr>
        <w:pStyle w:val="Normal"/>
        <w:jc w:val="both"/>
        <w:rPr/>
      </w:pPr>
      <w:r>
        <w:rPr/>
        <w:t xml:space="preserve">第二层 </w:t>
      </w:r>
      <w:r>
        <w:rPr/>
        <w:t xml:space="preserve">Anchor </w:t>
      </w:r>
      <w:r>
        <w:rPr/>
        <w:t xml:space="preserve">用当前状态和成熟的 </w:t>
      </w:r>
      <w:r>
        <w:rPr/>
        <w:t xml:space="preserve">7/28 </w:t>
      </w:r>
      <w:r>
        <w:rPr/>
        <w:t>天样本外误差统计进行局部校正。统计包括残差中位数、绝对残差中位数、</w:t>
      </w:r>
      <w:r>
        <w:rPr/>
        <w:t xml:space="preserve">80%/90% </w:t>
      </w:r>
      <w:r>
        <w:rPr/>
        <w:t xml:space="preserve">区间覆盖偏差及样本量。非对称头输出一个位置偏移 </w:t>
      </w:r>
      <w:r>
        <w:rPr/>
        <w:t xml:space="preserve">δ </w:t>
      </w:r>
      <w:r>
        <w:rPr/>
        <w:t xml:space="preserve">和两个正尺度 </w:t>
      </w:r>
      <w:r>
        <w:rPr/>
        <w:t>s−</w:t>
      </w:r>
      <w:r>
        <w:rPr/>
        <w:t>、</w:t>
      </w:r>
      <w:r>
        <w:rPr/>
        <w:t>s+</w:t>
      </w:r>
      <w:r>
        <w:rPr/>
        <w:t xml:space="preserve">，分别调节中位数以下和以上的区间宽度；零初始化精确对应不校正的基础模型。原始位置边界为 </w:t>
      </w:r>
      <w:r>
        <w:rPr/>
        <w:t>±150</w:t>
      </w:r>
      <w:r>
        <w:rPr/>
        <w:t xml:space="preserve">，两个尺度范围为 </w:t>
      </w:r>
      <w:r>
        <w:rPr/>
        <w:t>[0.5,1.5]</w:t>
      </w:r>
      <w:r>
        <w:rPr/>
        <w:t xml:space="preserve">；只在后续限幅开发候选中改为 </w:t>
      </w:r>
      <w:r>
        <w:rPr/>
        <w:t xml:space="preserve">±30 </w:t>
      </w:r>
      <w:r>
        <w:rPr/>
        <w:t xml:space="preserve">和 </w:t>
      </w:r>
      <w:r>
        <w:rPr/>
        <w:t>[0.9,1.1]</w:t>
      </w:r>
      <w:r>
        <w:rPr/>
        <w:t>，总体比较并未改成限幅版本。</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0"/>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4-1</w:t>
            </w:r>
            <w:r>
              <w:rPr>
                <w:sz w:val="21"/>
              </w:rPr>
              <w:t>）</w:t>
            </w:r>
          </w:p>
        </w:tc>
      </w:tr>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113919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1"/>
                          <a:stretch>
                            <a:fillRect/>
                          </a:stretch>
                        </pic:blipFill>
                        <pic:spPr bwMode="auto">
                          <a:xfrm>
                            <a:off x="0" y="0"/>
                            <a:ext cx="4968240" cy="113919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4-2</w:t>
            </w:r>
            <w:r>
              <w:rPr>
                <w:sz w:val="21"/>
              </w:rPr>
              <w:t>）</w:t>
            </w:r>
          </w:p>
        </w:tc>
      </w:tr>
    </w:tbl>
    <w:p>
      <w:pPr>
        <w:pStyle w:val="Normal"/>
        <w:jc w:val="both"/>
        <w:rPr/>
      </w:pPr>
      <w:r>
        <w:rPr/>
        <w:t>其中</w:t>
      </w:r>
      <w:r>
        <w:rPr/>
        <w:t>Bτ</w:t>
      </w:r>
      <w:r>
        <w:rPr/>
        <w:t>为基础模型分位数，</w:t>
      </w:r>
      <w:r>
        <w:rPr/>
        <w:t>Aτ</w:t>
      </w:r>
      <w:r>
        <w:rPr/>
        <w:t>为</w:t>
      </w:r>
      <w:r>
        <w:rPr/>
        <w:t>Anchor</w:t>
      </w:r>
      <w:r>
        <w:rPr/>
        <w:t>输出，</w:t>
      </w:r>
      <w:r>
        <w:rPr/>
        <w:t>δ</w:t>
      </w:r>
      <w:r>
        <w:rPr/>
        <w:t>控制条件位置偏移，</w:t>
      </w:r>
      <w:r>
        <w:rPr/>
        <w:t>s−</w:t>
      </w:r>
      <w:r>
        <w:rPr/>
        <w:t>和</w:t>
      </w:r>
      <w:r>
        <w:rPr/>
        <w:t>s+</w:t>
      </w:r>
      <w:r>
        <w:rPr/>
        <w:t>分别控制下尾与上尾尺度。非对称设计使上下尾不必共享相同收缩程度，而恒等初始化保留初始树预测。</w:t>
      </w:r>
    </w:p>
    <w:p>
      <w:pPr>
        <w:pStyle w:val="Heading2"/>
        <w:rPr/>
      </w:pPr>
      <w:bookmarkStart w:id="23" w:name="__RefHeading___Toc4053_610684220"/>
      <w:bookmarkEnd w:id="23"/>
      <w:r>
        <w:rPr/>
        <w:t xml:space="preserve">4.4 </w:t>
      </w:r>
      <w:r>
        <w:rPr/>
        <w:t>成熟历史的趋势—事件表示</w:t>
      </w:r>
    </w:p>
    <w:p>
      <w:pPr>
        <w:pStyle w:val="Normal"/>
        <w:jc w:val="both"/>
        <w:rPr/>
      </w:pPr>
      <w:r>
        <w:rPr/>
        <w:t xml:space="preserve">第三层把已经成熟的历史 </w:t>
      </w:r>
      <w:r>
        <w:rPr/>
        <w:t xml:space="preserve">24 </w:t>
      </w:r>
      <w:r>
        <w:rPr/>
        <w:t xml:space="preserve">小时真实曲线分解为低频趋势 </w:t>
      </w:r>
      <w:r>
        <w:rPr/>
        <w:t xml:space="preserve">T </w:t>
      </w:r>
      <w:r>
        <w:rPr/>
        <w:t xml:space="preserve">与局部事件 </w:t>
      </w:r>
      <w:r>
        <w:rPr/>
        <w:t>E</w:t>
      </w:r>
      <w:r>
        <w:rPr/>
        <w:t xml:space="preserve">。趋势由常数和一阶 </w:t>
      </w:r>
      <w:r>
        <w:rPr/>
        <w:t xml:space="preserve">24 </w:t>
      </w:r>
      <w:r>
        <w:rPr/>
        <w:t xml:space="preserve">小时 </w:t>
      </w:r>
      <w:r>
        <w:rPr/>
        <w:t xml:space="preserve">Fourier </w:t>
      </w:r>
      <w:r>
        <w:rPr/>
        <w:t xml:space="preserve">基构成；事件由六个局部高斯脉冲表达。局部几何网络调整脉冲中心和宽度，再通过带正则的线性求解求幅度。候选中心选取含离散 </w:t>
      </w:r>
      <w:r>
        <w:rPr/>
        <w:t xml:space="preserve">top-k </w:t>
      </w:r>
      <w:r>
        <w:rPr/>
        <w:t>步骤，其余几何、系数、匹配及移动可通过最终预测损失学习。这里是在解释已知过去；当前未来真实电价不进入历史编码或查询输入。</w:t>
      </w:r>
    </w:p>
    <w:p>
      <w:pPr>
        <w:pStyle w:val="Normal"/>
        <w:jc w:val="both"/>
        <w:rPr/>
      </w:pPr>
      <w:r>
        <w:rPr/>
        <w:t xml:space="preserve">历史误差以该记录当时的样本外基础树预测为参照。趋势残差是历史趋势减去历史 </w:t>
      </w:r>
      <w:r>
        <w:rPr/>
        <w:t xml:space="preserve">B50 </w:t>
      </w:r>
      <w:r>
        <w:rPr/>
        <w:t xml:space="preserve">的低通部分；事件残差只保留正向历史事件，并受实际漏报幅度约束，扣除已由正趋势残差解释的部分。这可以避免将历史绝对价格直接搬到当前，也避免把训练后 </w:t>
      </w:r>
      <w:r>
        <w:rPr/>
        <w:t xml:space="preserve">Anchor </w:t>
      </w:r>
      <w:r>
        <w:rPr/>
        <w:t>回算到已见标签上再伪装成样本外误差。</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8680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2"/>
                          <a:stretch>
                            <a:fillRect/>
                          </a:stretch>
                        </pic:blipFill>
                        <pic:spPr bwMode="auto">
                          <a:xfrm>
                            <a:off x="0" y="0"/>
                            <a:ext cx="4968240" cy="868045"/>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4-3</w:t>
            </w:r>
            <w:r>
              <w:rPr>
                <w:sz w:val="21"/>
              </w:rPr>
              <w:t>）</w:t>
            </w:r>
          </w:p>
        </w:tc>
      </w:tr>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8680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3"/>
                          <a:stretch>
                            <a:fillRect/>
                          </a:stretch>
                        </pic:blipFill>
                        <pic:spPr bwMode="auto">
                          <a:xfrm>
                            <a:off x="0" y="0"/>
                            <a:ext cx="4968240" cy="868045"/>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4-4</w:t>
            </w:r>
            <w:r>
              <w:rPr>
                <w:sz w:val="21"/>
              </w:rPr>
              <w:t>）</w:t>
            </w:r>
          </w:p>
        </w:tc>
      </w:tr>
    </w:tbl>
    <w:p>
      <w:pPr>
        <w:pStyle w:val="Normal"/>
        <w:jc w:val="both"/>
        <w:rPr/>
      </w:pPr>
      <w:r>
        <w:rPr/>
        <w:t>其中</w:t>
      </w:r>
      <w:r>
        <w:rPr/>
        <w:t>LP</w:t>
      </w:r>
      <w:r>
        <w:rPr/>
        <w:t>表示低通趋势提取。历史残差采用该记录形成时的样本外基础预测作为参照，使残差反映当时真实预测误差，减少以已见标签回算预测产生的偏差。</w:t>
      </w:r>
    </w:p>
    <w:p>
      <w:pPr>
        <w:pStyle w:val="Heading2"/>
        <w:rPr/>
      </w:pPr>
      <w:bookmarkStart w:id="24" w:name="__RefHeading___Toc4055_610684220"/>
      <w:bookmarkEnd w:id="24"/>
      <w:r>
        <w:rPr/>
        <w:t xml:space="preserve">4.5 </w:t>
      </w:r>
      <w:r>
        <w:rPr/>
        <w:t>条件检索与事件时间对齐</w:t>
      </w:r>
    </w:p>
    <w:p>
      <w:pPr>
        <w:pStyle w:val="Normal"/>
        <w:jc w:val="both"/>
        <w:rPr/>
      </w:pPr>
      <w:r>
        <w:rPr/>
        <w:t xml:space="preserve">查询仅可访问同地区、同预测起点小时、过去 </w:t>
      </w:r>
      <w:r>
        <w:rPr/>
        <w:t xml:space="preserve">730 </w:t>
      </w:r>
      <w:r>
        <w:rPr/>
        <w:t xml:space="preserve">天内且完整 </w:t>
      </w:r>
      <w:r>
        <w:rPr/>
        <w:t xml:space="preserve">24 </w:t>
      </w:r>
      <w:r>
        <w:rPr/>
        <w:t xml:space="preserve">小时标签已成熟的历史。每次最多 </w:t>
      </w:r>
      <w:r>
        <w:rPr/>
        <w:t xml:space="preserve">16 </w:t>
      </w:r>
      <w:r>
        <w:rPr/>
        <w:t xml:space="preserve">个候选，一半优先近期，另一半按已知状态距离补齐。趋势和事件分别学习匹配分数，并加入零值空候选；匹配还使用历史年龄。空候选与 </w:t>
      </w:r>
      <w:r>
        <w:rPr/>
        <w:t xml:space="preserve">sigmoid </w:t>
      </w:r>
      <w:r>
        <w:rPr/>
        <w:t xml:space="preserve">门可弱化历史作用，但一般不能保证数学意义的严格零，完全关闭历史须使用明确的 </w:t>
      </w:r>
      <w:r>
        <w:rPr/>
        <w:t xml:space="preserve">history_off </w:t>
      </w:r>
      <w:r>
        <w:rPr/>
        <w:t>干预。</w:t>
      </w:r>
    </w:p>
    <w:p>
      <w:pPr>
        <w:pStyle w:val="Normal"/>
        <w:jc w:val="both"/>
        <w:rPr/>
      </w:pPr>
      <w:r>
        <w:rPr/>
        <w:t xml:space="preserve">事件时间对齐使用当前目标小时与历史源小时的可学习匹配矩阵，带时间距离惩罚，在 </w:t>
      </w:r>
      <w:r>
        <w:rPr/>
        <w:t xml:space="preserve">24 </w:t>
      </w:r>
      <w:r>
        <w:rPr/>
        <w:t xml:space="preserve">小时范围内分配源事件强度且不循环跨越日界。移动阶段保持源事件总强度，后续匹配与采用可以衰减。趋势提案扣除当前位置修正 </w:t>
      </w:r>
      <w:r>
        <w:rPr/>
        <w:t>δ</w:t>
      </w:r>
      <w:r>
        <w:rPr/>
        <w:t xml:space="preserve">，避免重复补偿同一水平偏差；最终历史修正 </w:t>
      </w:r>
      <w:r>
        <w:rPr/>
        <w:t xml:space="preserve">R </w:t>
      </w:r>
      <w:r>
        <w:rPr/>
        <w:t xml:space="preserve">有界，并对五个分位作相同平移。因此它能改变位置、不能独立扩大上尾宽度，尾部宽度仍由 </w:t>
      </w:r>
      <w:r>
        <w:rPr/>
        <w:t xml:space="preserve">Anchor </w:t>
      </w:r>
      <w:r>
        <w:rPr/>
        <w:t>负责。</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4"/>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4-5</w:t>
            </w:r>
            <w:r>
              <w:rPr>
                <w:sz w:val="21"/>
              </w:rPr>
              <w:t>）</w:t>
            </w:r>
          </w:p>
        </w:tc>
      </w:tr>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5"/>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4-6</w:t>
            </w:r>
            <w:r>
              <w:rPr>
                <w:sz w:val="21"/>
              </w:rPr>
              <w:t>）</w:t>
            </w:r>
          </w:p>
        </w:tc>
      </w:tr>
    </w:tbl>
    <w:p>
      <w:pPr>
        <w:pStyle w:val="Normal"/>
        <w:jc w:val="both"/>
        <w:rPr/>
      </w:pPr>
      <w:r>
        <w:rPr/>
        <w:t>wT,j</w:t>
      </w:r>
      <w:r>
        <w:rPr/>
        <w:t>与</w:t>
      </w:r>
      <w:r>
        <w:rPr/>
        <w:t>wE,j</w:t>
      </w:r>
      <w:r>
        <w:rPr/>
        <w:t>分别表示趋势和事件的候选权重，</w:t>
      </w:r>
      <w:r>
        <w:rPr/>
        <w:t>gT</w:t>
      </w:r>
      <w:r>
        <w:rPr/>
        <w:t>与</w:t>
      </w:r>
      <w:r>
        <w:rPr/>
        <w:t>gE</w:t>
      </w:r>
      <w:r>
        <w:rPr/>
        <w:t>控制两类修正的采用程度。</w:t>
      </w:r>
      <w:r>
        <w:rPr/>
        <w:t>R</w:t>
      </w:r>
      <w:r>
        <w:rPr/>
        <w:t>对所有分位数作共同平移，因而保持</w:t>
      </w:r>
      <w:r>
        <w:rPr/>
        <w:t>Anchor</w:t>
      </w:r>
      <w:r>
        <w:rPr/>
        <w:t>的区间宽度。这种结构有利于分离位置补偿和尺度调整，但也限制了历史事件分支对极端上尾的独立表达能力。</w:t>
      </w:r>
    </w:p>
    <w:p>
      <w:pPr>
        <w:pStyle w:val="Heading2"/>
        <w:rPr/>
      </w:pPr>
      <w:bookmarkStart w:id="25" w:name="__RefHeading___Toc4057_610684220"/>
      <w:bookmarkEnd w:id="25"/>
      <w:r>
        <w:rPr/>
        <w:t xml:space="preserve">4.6 </w:t>
      </w:r>
      <w:r>
        <w:rPr/>
        <w:t>联合损失与模型选择</w:t>
      </w:r>
    </w:p>
    <w:p>
      <w:pPr>
        <w:pStyle w:val="Normal"/>
        <w:jc w:val="both"/>
        <w:rPr/>
      </w:pPr>
      <w:r>
        <w:rPr/>
        <w:t xml:space="preserve">平衡损失在原 </w:t>
      </w:r>
      <w:r>
        <w:rPr/>
        <w:t xml:space="preserve">Full </w:t>
      </w:r>
      <w:r>
        <w:rPr/>
        <w:t xml:space="preserve">五分位 </w:t>
      </w:r>
      <w:r>
        <w:rPr/>
        <w:t xml:space="preserve">pinball </w:t>
      </w:r>
      <w:r>
        <w:rPr/>
        <w:t xml:space="preserve">之上增加 </w:t>
      </w:r>
      <w:r>
        <w:rPr/>
        <w:t>Anchor pinball</w:t>
      </w:r>
      <w:r>
        <w:rPr/>
        <w:t>、</w:t>
      </w:r>
      <w:r>
        <w:rPr/>
        <w:t xml:space="preserve">Anchor/Full </w:t>
      </w:r>
      <w:r>
        <w:rPr/>
        <w:t xml:space="preserve">的中位数损失和 </w:t>
      </w:r>
      <w:r>
        <w:rPr/>
        <w:t xml:space="preserve">Anchor </w:t>
      </w:r>
      <w:r>
        <w:rPr/>
        <w:t xml:space="preserve">相对 </w:t>
      </w:r>
      <w:r>
        <w:rPr/>
        <w:t xml:space="preserve">B </w:t>
      </w:r>
      <w:r>
        <w:rPr/>
        <w:t xml:space="preserve">的移动惩罚，并保留历史重建与门值正则。价格统一除以 </w:t>
      </w:r>
      <w:r>
        <w:rPr/>
        <w:t xml:space="preserve">300 </w:t>
      </w:r>
      <w:r>
        <w:rPr/>
        <w:t xml:space="preserve">只用于数值尺度，并非 </w:t>
      </w:r>
      <w:r>
        <w:rPr/>
        <w:t xml:space="preserve">asinh </w:t>
      </w:r>
      <w:r>
        <w:rPr/>
        <w:t xml:space="preserve">变换。与旧目标只监督 </w:t>
      </w:r>
      <w:r>
        <w:rPr/>
        <w:t xml:space="preserve">Full </w:t>
      </w:r>
      <w:r>
        <w:rPr/>
        <w:t>相比，新增损失明确约束基础校正本身，减少“</w:t>
      </w:r>
      <w:r>
        <w:rPr/>
        <w:t xml:space="preserve">Anchor </w:t>
      </w:r>
      <w:r>
        <w:rPr/>
        <w:t>先偏移、历史再抵消”而最终总损失仍可下降的空间。是否因此消除失配必须由独立对照判断。</w:t>
      </w:r>
    </w:p>
    <w:p>
      <w:pPr>
        <w:pStyle w:val="Normal"/>
        <w:jc w:val="both"/>
        <w:rPr/>
      </w:pPr>
      <w:r>
        <w:rPr/>
        <w:t xml:space="preserve">保存 </w:t>
      </w:r>
      <w:r>
        <w:rPr/>
        <w:t xml:space="preserve">raw </w:t>
      </w:r>
      <w:r>
        <w:rPr/>
        <w:t xml:space="preserve">和 </w:t>
      </w:r>
      <w:r>
        <w:rPr/>
        <w:t xml:space="preserve">guarded </w:t>
      </w:r>
      <w:r>
        <w:rPr/>
        <w:t>两类输出：</w:t>
      </w:r>
      <w:r>
        <w:rPr/>
        <w:t xml:space="preserve">raw </w:t>
      </w:r>
      <w:r>
        <w:rPr/>
        <w:t xml:space="preserve">按选择期 </w:t>
      </w:r>
      <w:r>
        <w:rPr/>
        <w:t xml:space="preserve">Full QS </w:t>
      </w:r>
      <w:r>
        <w:rPr/>
        <w:t>最小选择检查点；</w:t>
      </w:r>
      <w:r>
        <w:rPr/>
        <w:t xml:space="preserve">guarded </w:t>
      </w:r>
      <w:r>
        <w:rPr/>
        <w:t xml:space="preserve">在预设 </w:t>
      </w:r>
      <w:r>
        <w:rPr/>
        <w:t xml:space="preserve">α∈{0,0.25,0.5,1} </w:t>
      </w:r>
      <w:r>
        <w:rPr/>
        <w:t xml:space="preserve">中共同收缩 </w:t>
      </w:r>
      <w:r>
        <w:rPr/>
        <w:t xml:space="preserve">Anchor </w:t>
      </w:r>
      <w:r>
        <w:rPr/>
        <w:t xml:space="preserve">与 </w:t>
      </w:r>
      <w:r>
        <w:rPr/>
        <w:t>Full</w:t>
      </w:r>
      <w:r>
        <w:rPr/>
        <w:t xml:space="preserve">，要求两者 </w:t>
      </w:r>
      <w:r>
        <w:rPr/>
        <w:t xml:space="preserve">MAE/QS </w:t>
      </w:r>
      <w:r>
        <w:rPr/>
        <w:t xml:space="preserve">均不劣于 </w:t>
      </w:r>
      <w:r>
        <w:rPr/>
        <w:t>B</w:t>
      </w:r>
      <w:r>
        <w:rPr/>
        <w:t xml:space="preserve">、且 </w:t>
      </w:r>
      <w:r>
        <w:rPr/>
        <w:t xml:space="preserve">Full </w:t>
      </w:r>
      <w:r>
        <w:rPr/>
        <w:t xml:space="preserve">至少一项严格改善。无合格正 </w:t>
      </w:r>
      <w:r>
        <w:rPr/>
        <w:t xml:space="preserve">α </w:t>
      </w:r>
      <w:r>
        <w:rPr/>
        <w:t xml:space="preserve">时回退 </w:t>
      </w:r>
      <w:r>
        <w:rPr/>
        <w:t>B</w:t>
      </w:r>
      <w:r>
        <w:rPr/>
        <w:t xml:space="preserve">。两类检查点可以不同；正式主方法预先指定 </w:t>
      </w:r>
      <w:r>
        <w:rPr/>
        <w:t>guarded</w:t>
      </w:r>
      <w:r>
        <w:rPr/>
        <w:t xml:space="preserve">，不能看测试结果后选择 </w:t>
      </w:r>
      <w:r>
        <w:rPr/>
        <w:t>raw</w:t>
      </w:r>
      <w:r>
        <w:rPr/>
        <w:t>。回退是预测保护策略，不是网络学到增益的证据。</w:t>
      </w:r>
    </w:p>
    <w:p>
      <w:pPr>
        <w:pStyle w:val="Normal"/>
        <w:jc w:val="both"/>
        <w:rPr/>
      </w:pPr>
      <w:r>
        <w:rPr/>
        <w:t xml:space="preserve">当前正式实验使用 </w:t>
      </w:r>
      <w:r>
        <w:rPr/>
        <w:t xml:space="preserve">2018—2021 </w:t>
      </w:r>
      <w:r>
        <w:rPr/>
        <w:t>年神经训练、</w:t>
      </w:r>
      <w:r>
        <w:rPr/>
        <w:t xml:space="preserve">2022H1 </w:t>
      </w:r>
      <w:r>
        <w:rPr/>
        <w:t xml:space="preserve">选择；树拟合 </w:t>
      </w:r>
      <w:r>
        <w:rPr/>
        <w:t>2015—2021</w:t>
      </w:r>
      <w:r>
        <w:rPr/>
        <w:t xml:space="preserve">、选择 </w:t>
      </w:r>
      <w:r>
        <w:rPr/>
        <w:t>2022H1</w:t>
      </w:r>
      <w:r>
        <w:rPr/>
        <w:t>。</w:t>
      </w:r>
      <w:r>
        <w:rPr/>
        <w:t xml:space="preserve">2022H2 </w:t>
      </w:r>
      <w:r>
        <w:rPr/>
        <w:t>仅补充合法成熟记忆，不参与本次神经</w:t>
      </w:r>
      <w:r>
        <w:rPr/>
        <w:t xml:space="preserve">/α </w:t>
      </w:r>
      <w:r>
        <w:rPr/>
        <w:t>选择。三地区</w:t>
      </w:r>
      <w:r>
        <w:rPr/>
        <w:t>×</w:t>
      </w:r>
      <w:r>
        <w:rPr/>
        <w:t xml:space="preserve">三个神经种子共 </w:t>
      </w:r>
      <w:r>
        <w:rPr/>
        <w:t xml:space="preserve">9 </w:t>
      </w:r>
      <w:r>
        <w:rPr/>
        <w:t xml:space="preserve">次、每次 </w:t>
      </w:r>
      <w:r>
        <w:rPr/>
        <w:t xml:space="preserve">20 </w:t>
      </w:r>
      <w:r>
        <w:rPr/>
        <w:t xml:space="preserve">轮全部完成并冻结后评估 </w:t>
      </w:r>
      <w:r>
        <w:rPr/>
        <w:t>2023—2024</w:t>
      </w:r>
      <w:r>
        <w:rPr/>
        <w:t xml:space="preserve">。树种子固定 </w:t>
      </w:r>
      <w:r>
        <w:rPr/>
        <w:t>2026</w:t>
      </w:r>
      <w:r>
        <w:rPr/>
        <w:t xml:space="preserve">，神经种子为 </w:t>
      </w:r>
      <w:r>
        <w:rPr/>
        <w:t>2026/2027/2028</w:t>
      </w:r>
      <w:r>
        <w:rPr/>
        <w:t>。报告的种子标准差只衡量神经初始化和训练顺序波动；当前信息集含成熟历史，不构成与静态基线完全相同历史权限。</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94"/>
        <w:gridCol w:w="963"/>
      </w:tblGrid>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8680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6"/>
                          <a:stretch>
                            <a:fillRect/>
                          </a:stretch>
                        </pic:blipFill>
                        <pic:spPr bwMode="auto">
                          <a:xfrm>
                            <a:off x="0" y="0"/>
                            <a:ext cx="4968240" cy="868045"/>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4-7</w:t>
            </w:r>
            <w:r>
              <w:rPr>
                <w:sz w:val="21"/>
              </w:rPr>
              <w:t>）</w:t>
            </w:r>
          </w:p>
        </w:tc>
      </w:tr>
      <w:tr>
        <w:trPr>
          <w:cantSplit w:val="true"/>
        </w:trPr>
        <w:tc>
          <w:tcPr>
            <w:tcW w:w="7994" w:type="dxa"/>
            <w:tcBorders/>
            <w:vAlign w:val="center"/>
          </w:tcPr>
          <w:p>
            <w:pPr>
              <w:pStyle w:val="Normal"/>
              <w:widowControl w:val="false"/>
              <w:spacing w:lineRule="auto" w:line="252" w:before="100" w:after="100"/>
              <w:ind w:hanging="0"/>
              <w:jc w:val="center"/>
              <w:rPr/>
            </w:pPr>
            <w:r>
              <w:rPr/>
              <w:drawing>
                <wp:inline distT="0" distB="0" distL="0" distR="0">
                  <wp:extent cx="4968240" cy="60833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7"/>
                          <a:stretch>
                            <a:fillRect/>
                          </a:stretch>
                        </pic:blipFill>
                        <pic:spPr bwMode="auto">
                          <a:xfrm>
                            <a:off x="0" y="0"/>
                            <a:ext cx="4968240" cy="608330"/>
                          </a:xfrm>
                          <a:prstGeom prst="rect">
                            <a:avLst/>
                          </a:prstGeom>
                        </pic:spPr>
                      </pic:pic>
                    </a:graphicData>
                  </a:graphic>
                </wp:inline>
              </w:drawing>
            </w:r>
          </w:p>
        </w:tc>
        <w:tc>
          <w:tcPr>
            <w:tcW w:w="963" w:type="dxa"/>
            <w:tcBorders/>
            <w:vAlign w:val="center"/>
          </w:tcPr>
          <w:p>
            <w:pPr>
              <w:pStyle w:val="Normal"/>
              <w:widowControl w:val="false"/>
              <w:spacing w:lineRule="auto" w:line="252" w:before="100" w:after="100"/>
              <w:ind w:hanging="0"/>
              <w:jc w:val="right"/>
              <w:rPr/>
            </w:pPr>
            <w:r>
              <w:rPr>
                <w:sz w:val="21"/>
              </w:rPr>
              <w:t>（</w:t>
            </w:r>
            <w:r>
              <w:rPr>
                <w:sz w:val="21"/>
              </w:rPr>
              <w:t>4-8</w:t>
            </w:r>
            <w:r>
              <w:rPr>
                <w:sz w:val="21"/>
              </w:rPr>
              <w:t>）</w:t>
            </w:r>
          </w:p>
        </w:tc>
      </w:tr>
    </w:tbl>
    <w:p>
      <w:pPr>
        <w:pStyle w:val="Normal"/>
        <w:jc w:val="both"/>
        <w:rPr/>
      </w:pPr>
      <w:r>
        <w:rPr/>
        <w:t>损失中的重建项约束历史表示，门值正则限制历史过度采用，</w:t>
      </w:r>
      <w:r>
        <w:rPr/>
        <w:t>Anchor</w:t>
      </w:r>
      <w:r>
        <w:rPr/>
        <w:t>直接监督与相对基座移动惩罚共同抑制不必要的校正。选择期守护仅提供有限样本上的保守选择，不构成对未来误差的保证。</w:t>
      </w:r>
    </w:p>
    <w:p>
      <w:pPr>
        <w:pStyle w:val="Heading2"/>
        <w:rPr/>
      </w:pPr>
      <w:bookmarkStart w:id="26" w:name="__RefHeading___Toc4059_610684220"/>
      <w:bookmarkEnd w:id="26"/>
      <w:r>
        <w:rPr/>
        <w:t xml:space="preserve">4.7 </w:t>
      </w:r>
      <w:r>
        <w:rPr/>
        <w:t>本章小结</w:t>
      </w:r>
    </w:p>
    <w:p>
      <w:pPr>
        <w:pStyle w:val="Normal"/>
        <w:jc w:val="both"/>
        <w:rPr/>
      </w:pPr>
      <w:r>
        <w:rPr/>
        <w:t>本章建立了从强树基座到非对称校正，再到成熟历史残差迁移的预测流程。该方法试图把历史趋势与事件作为有条件采用的增量信息，而不是强制叠加的先验。其有效性取决于校正证据的跨状态稳定性，以及尖峰收益能否覆盖常态代价；相关问题将在实验中检验。</w:t>
      </w:r>
      <w:r>
        <w:br w:type="page"/>
      </w:r>
    </w:p>
    <w:p>
      <w:pPr>
        <w:pStyle w:val="Heading1"/>
        <w:rPr/>
      </w:pPr>
      <w:bookmarkStart w:id="27" w:name="__RefHeading___Toc4061_610684220"/>
      <w:bookmarkEnd w:id="27"/>
      <w:r>
        <w:rPr/>
        <w:t>第</w:t>
      </w:r>
      <w:r>
        <w:rPr/>
        <w:t>5</w:t>
      </w:r>
      <w:r>
        <w:rPr/>
        <w:t>章  实验结果与分析</w:t>
      </w:r>
    </w:p>
    <w:p>
      <w:pPr>
        <w:pStyle w:val="Heading2"/>
        <w:rPr/>
      </w:pPr>
      <w:bookmarkStart w:id="28" w:name="__RefHeading___Toc4063_610684220"/>
      <w:bookmarkEnd w:id="28"/>
      <w:r>
        <w:rPr/>
        <w:t xml:space="preserve">5.1 </w:t>
      </w:r>
      <w:r>
        <w:rPr/>
        <w:t>总体预测性能</w:t>
      </w:r>
    </w:p>
    <w:p>
      <w:pPr>
        <w:pStyle w:val="Normal"/>
        <w:jc w:val="both"/>
        <w:rPr/>
      </w:pPr>
      <w:r>
        <w:rPr/>
        <w:t>表</w:t>
      </w:r>
      <w:r>
        <w:rPr/>
        <w:t>5-1</w:t>
      </w:r>
      <w:r>
        <w:rPr/>
        <w:t>汇总</w:t>
      </w:r>
      <w:r>
        <w:rPr/>
        <w:t>19</w:t>
      </w:r>
      <w:r>
        <w:rPr/>
        <w:t>个基线与联合方法</w:t>
      </w:r>
      <w:r>
        <w:rPr/>
        <w:t>6</w:t>
      </w:r>
      <w:r>
        <w:rPr/>
        <w:t>个输出的完整结果，共</w:t>
      </w:r>
      <w:r>
        <w:rPr/>
        <w:t>25</w:t>
      </w:r>
      <w:r>
        <w:rPr/>
        <w:t>个输出、</w:t>
      </w:r>
      <w:r>
        <w:rPr/>
        <w:t>225</w:t>
      </w:r>
      <w:r>
        <w:rPr/>
        <w:t>个模型—地区—种子组合。</w:t>
      </w:r>
      <w:r>
        <w:rPr/>
        <w:t>Q/</w:t>
      </w:r>
      <w:r>
        <w:rPr/>
        <w:t>公共表示完整公共输入，</w:t>
      </w:r>
      <w:r>
        <w:rPr/>
        <w:t>Q/</w:t>
      </w:r>
      <w:r>
        <w:rPr/>
        <w:t>历史表示额外成熟历史，</w:t>
      </w:r>
      <w:r>
        <w:rPr/>
        <w:t>Q/</w:t>
      </w:r>
      <w:r>
        <w:rPr/>
        <w:t>受限与</w:t>
      </w:r>
      <w:r>
        <w:rPr/>
        <w:t>P/</w:t>
      </w:r>
      <w:r>
        <w:rPr/>
        <w:t>受限表示基础模型输入或输出能力受限。</w:t>
      </w:r>
      <w:r>
        <w:rPr/>
        <w:t>MAE</w:t>
      </w:r>
      <w:r>
        <w:rPr/>
        <w:t>和</w:t>
      </w:r>
      <w:r>
        <w:rPr/>
        <w:t>QS</w:t>
      </w:r>
      <w:r>
        <w:rPr/>
        <w:t>报告均值</w:t>
      </w:r>
      <w:r>
        <w:rPr/>
        <w:t>±</w:t>
      </w:r>
      <w:r>
        <w:rPr/>
        <w:t>样本标准差，</w:t>
      </w:r>
      <w:r>
        <w:rPr/>
        <w:t>RMSE</w:t>
      </w:r>
      <w:r>
        <w:rPr/>
        <w:t>为地区均值；所有价格指标单位为</w:t>
      </w:r>
      <w:r>
        <w:rPr/>
        <w:t>AUD/MWh</w:t>
      </w:r>
      <w:r>
        <w:rPr/>
        <w:t>。</w:t>
      </w:r>
    </w:p>
    <w:p>
      <w:pPr>
        <w:pStyle w:val="Caption1"/>
        <w:keepNext w:val="true"/>
        <w:rPr/>
      </w:pPr>
      <w:r>
        <w:rPr/>
        <w:t>表</w:t>
      </w:r>
      <w:r>
        <w:rPr/>
        <w:t xml:space="preserve">5-1  </w:t>
      </w:r>
      <w:r>
        <w:rPr/>
        <w:t>全部模型的总体预测结果</w:t>
      </w:r>
    </w:p>
    <w:tbl>
      <w:tblPr>
        <w:tblW w:w="89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0"/>
        <w:gridCol w:w="868"/>
        <w:gridCol w:w="2022"/>
        <w:gridCol w:w="2023"/>
        <w:gridCol w:w="1446"/>
      </w:tblGrid>
      <w:tr>
        <w:trPr>
          <w:tblHeader w:val="true"/>
          <w:cantSplit w:val="true"/>
        </w:trPr>
        <w:tc>
          <w:tcPr>
            <w:tcW w:w="2600"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模型</w:t>
            </w:r>
            <w:r>
              <w:rPr>
                <w:b/>
                <w:color w:val="000000"/>
                <w:sz w:val="18"/>
              </w:rPr>
              <w:t>/</w:t>
            </w:r>
            <w:r>
              <w:rPr>
                <w:rFonts w:ascii="Times New Roman" w:hAnsi="Times New Roman"/>
                <w:b/>
                <w:color w:val="000000"/>
                <w:sz w:val="18"/>
              </w:rPr>
              <w:t>输出</w:t>
            </w:r>
          </w:p>
        </w:tc>
        <w:tc>
          <w:tcPr>
            <w:tcW w:w="868"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组别</w:t>
            </w:r>
          </w:p>
        </w:tc>
        <w:tc>
          <w:tcPr>
            <w:tcW w:w="2022"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b/>
                <w:color w:val="000000"/>
                <w:sz w:val="18"/>
              </w:rPr>
              <w:t>MAE↓</w:t>
            </w:r>
          </w:p>
        </w:tc>
        <w:tc>
          <w:tcPr>
            <w:tcW w:w="2023"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b/>
                <w:color w:val="000000"/>
                <w:sz w:val="18"/>
              </w:rPr>
              <w:t>QS↓</w:t>
            </w:r>
          </w:p>
        </w:tc>
        <w:tc>
          <w:tcPr>
            <w:tcW w:w="1446"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b/>
                <w:color w:val="000000"/>
                <w:sz w:val="18"/>
              </w:rPr>
              <w:t>RMSE↓</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LightGBM</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37.101 ± 0.015</w:t>
            </w:r>
          </w:p>
        </w:tc>
        <w:tc>
          <w:tcPr>
            <w:tcW w:w="2023" w:type="dxa"/>
            <w:tcBorders/>
            <w:vAlign w:val="center"/>
          </w:tcPr>
          <w:p>
            <w:pPr>
              <w:pStyle w:val="Normal"/>
              <w:widowControl w:val="false"/>
              <w:spacing w:lineRule="auto" w:line="264" w:before="40" w:after="40"/>
              <w:ind w:hanging="0"/>
              <w:rPr/>
            </w:pPr>
            <w:r>
              <w:rPr>
                <w:b w:val="false"/>
                <w:color w:val="000000"/>
                <w:sz w:val="18"/>
              </w:rPr>
              <w:t>24.191 ± 0.005</w:t>
            </w:r>
          </w:p>
        </w:tc>
        <w:tc>
          <w:tcPr>
            <w:tcW w:w="1446" w:type="dxa"/>
            <w:tcBorders/>
            <w:vAlign w:val="center"/>
          </w:tcPr>
          <w:p>
            <w:pPr>
              <w:pStyle w:val="Normal"/>
              <w:widowControl w:val="false"/>
              <w:spacing w:lineRule="auto" w:line="264" w:before="40" w:after="40"/>
              <w:ind w:hanging="0"/>
              <w:rPr/>
            </w:pPr>
            <w:r>
              <w:rPr>
                <w:b w:val="false"/>
                <w:color w:val="000000"/>
                <w:sz w:val="18"/>
              </w:rPr>
              <w:t>277.064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LightGBM+CP</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37.101 ± 0.015</w:t>
            </w:r>
          </w:p>
        </w:tc>
        <w:tc>
          <w:tcPr>
            <w:tcW w:w="2023" w:type="dxa"/>
            <w:tcBorders/>
            <w:vAlign w:val="center"/>
          </w:tcPr>
          <w:p>
            <w:pPr>
              <w:pStyle w:val="Normal"/>
              <w:widowControl w:val="false"/>
              <w:spacing w:lineRule="auto" w:line="264" w:before="40" w:after="40"/>
              <w:ind w:hanging="0"/>
              <w:rPr/>
            </w:pPr>
            <w:r>
              <w:rPr>
                <w:b w:val="false"/>
                <w:color w:val="000000"/>
                <w:sz w:val="18"/>
              </w:rPr>
              <w:t>30.973 ± 0.021</w:t>
            </w:r>
          </w:p>
        </w:tc>
        <w:tc>
          <w:tcPr>
            <w:tcW w:w="1446" w:type="dxa"/>
            <w:tcBorders/>
            <w:vAlign w:val="center"/>
          </w:tcPr>
          <w:p>
            <w:pPr>
              <w:pStyle w:val="Normal"/>
              <w:widowControl w:val="false"/>
              <w:spacing w:lineRule="auto" w:line="264" w:before="40" w:after="40"/>
              <w:ind w:hanging="0"/>
              <w:rPr/>
            </w:pPr>
            <w:r>
              <w:rPr>
                <w:b w:val="false"/>
                <w:color w:val="000000"/>
                <w:sz w:val="18"/>
              </w:rPr>
              <w:t>277.064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B_retrained</w:t>
            </w:r>
            <w:r>
              <w:rPr>
                <w:rFonts w:ascii="Times New Roman" w:hAnsi="Times New Roman"/>
                <w:b w:val="false"/>
                <w:color w:val="000000"/>
                <w:sz w:val="18"/>
              </w:rPr>
              <w:t>（固定树）</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37.113 ± 0.000</w:t>
            </w:r>
          </w:p>
        </w:tc>
        <w:tc>
          <w:tcPr>
            <w:tcW w:w="2023" w:type="dxa"/>
            <w:tcBorders/>
            <w:vAlign w:val="center"/>
          </w:tcPr>
          <w:p>
            <w:pPr>
              <w:pStyle w:val="Normal"/>
              <w:widowControl w:val="false"/>
              <w:spacing w:lineRule="auto" w:line="264" w:before="40" w:after="40"/>
              <w:ind w:hanging="0"/>
              <w:rPr/>
            </w:pPr>
            <w:r>
              <w:rPr>
                <w:b w:val="false"/>
                <w:color w:val="000000"/>
                <w:sz w:val="18"/>
              </w:rPr>
              <w:t>24.181 ± 0.000</w:t>
            </w:r>
          </w:p>
        </w:tc>
        <w:tc>
          <w:tcPr>
            <w:tcW w:w="1446" w:type="dxa"/>
            <w:tcBorders/>
            <w:vAlign w:val="center"/>
          </w:tcPr>
          <w:p>
            <w:pPr>
              <w:pStyle w:val="Normal"/>
              <w:widowControl w:val="false"/>
              <w:spacing w:lineRule="auto" w:line="264" w:before="40" w:after="40"/>
              <w:ind w:hanging="0"/>
              <w:rPr/>
            </w:pPr>
            <w:r>
              <w:rPr>
                <w:b w:val="false"/>
                <w:color w:val="000000"/>
                <w:sz w:val="18"/>
              </w:rPr>
              <w:t>277.090</w:t>
            </w:r>
          </w:p>
        </w:tc>
      </w:tr>
      <w:tr>
        <w:trPr>
          <w:cantSplit w:val="true"/>
        </w:trPr>
        <w:tc>
          <w:tcPr>
            <w:tcW w:w="2600" w:type="dxa"/>
            <w:tcBorders/>
            <w:vAlign w:val="center"/>
          </w:tcPr>
          <w:p>
            <w:pPr>
              <w:pStyle w:val="Normal"/>
              <w:widowControl w:val="false"/>
              <w:spacing w:lineRule="auto" w:line="264" w:before="40" w:after="40"/>
              <w:ind w:hanging="0"/>
              <w:rPr/>
            </w:pPr>
            <w:r>
              <w:rPr>
                <w:rFonts w:ascii="Times New Roman" w:hAnsi="Times New Roman"/>
                <w:b w:val="false"/>
                <w:color w:val="000000"/>
                <w:sz w:val="18"/>
              </w:rPr>
              <w:t>关闭事件项</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历史</w:t>
            </w:r>
          </w:p>
        </w:tc>
        <w:tc>
          <w:tcPr>
            <w:tcW w:w="2022" w:type="dxa"/>
            <w:tcBorders/>
            <w:vAlign w:val="center"/>
          </w:tcPr>
          <w:p>
            <w:pPr>
              <w:pStyle w:val="Normal"/>
              <w:widowControl w:val="false"/>
              <w:spacing w:lineRule="auto" w:line="264" w:before="40" w:after="40"/>
              <w:ind w:hanging="0"/>
              <w:rPr/>
            </w:pPr>
            <w:r>
              <w:rPr>
                <w:b w:val="false"/>
                <w:color w:val="000000"/>
                <w:sz w:val="18"/>
              </w:rPr>
              <w:t>37.754 ± 0.454</w:t>
            </w:r>
          </w:p>
        </w:tc>
        <w:tc>
          <w:tcPr>
            <w:tcW w:w="2023" w:type="dxa"/>
            <w:tcBorders/>
            <w:vAlign w:val="center"/>
          </w:tcPr>
          <w:p>
            <w:pPr>
              <w:pStyle w:val="Normal"/>
              <w:widowControl w:val="false"/>
              <w:spacing w:lineRule="auto" w:line="264" w:before="40" w:after="40"/>
              <w:ind w:hanging="0"/>
              <w:rPr/>
            </w:pPr>
            <w:r>
              <w:rPr>
                <w:b w:val="false"/>
                <w:color w:val="000000"/>
                <w:sz w:val="18"/>
              </w:rPr>
              <w:t>24.398 ± 0.196</w:t>
            </w:r>
          </w:p>
        </w:tc>
        <w:tc>
          <w:tcPr>
            <w:tcW w:w="1446" w:type="dxa"/>
            <w:tcBorders/>
            <w:vAlign w:val="center"/>
          </w:tcPr>
          <w:p>
            <w:pPr>
              <w:pStyle w:val="Normal"/>
              <w:widowControl w:val="false"/>
              <w:spacing w:lineRule="auto" w:line="264" w:before="40" w:after="40"/>
              <w:ind w:hanging="0"/>
              <w:rPr/>
            </w:pPr>
            <w:r>
              <w:rPr>
                <w:b w:val="false"/>
                <w:color w:val="000000"/>
                <w:sz w:val="18"/>
              </w:rPr>
              <w:t>275.962</w:t>
            </w:r>
          </w:p>
        </w:tc>
      </w:tr>
      <w:tr>
        <w:trPr>
          <w:cantSplit w:val="true"/>
        </w:trPr>
        <w:tc>
          <w:tcPr>
            <w:tcW w:w="2600" w:type="dxa"/>
            <w:tcBorders/>
            <w:vAlign w:val="center"/>
          </w:tcPr>
          <w:p>
            <w:pPr>
              <w:pStyle w:val="Normal"/>
              <w:widowControl w:val="false"/>
              <w:spacing w:lineRule="auto" w:line="264" w:before="40" w:after="40"/>
              <w:ind w:hanging="0"/>
              <w:rPr/>
            </w:pPr>
            <w:r>
              <w:rPr>
                <w:rFonts w:ascii="Times New Roman" w:hAnsi="Times New Roman"/>
                <w:b w:val="false"/>
                <w:color w:val="000000"/>
                <w:sz w:val="18"/>
              </w:rPr>
              <w:t>关闭时间移动</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历史</w:t>
            </w:r>
          </w:p>
        </w:tc>
        <w:tc>
          <w:tcPr>
            <w:tcW w:w="2022" w:type="dxa"/>
            <w:tcBorders/>
            <w:vAlign w:val="center"/>
          </w:tcPr>
          <w:p>
            <w:pPr>
              <w:pStyle w:val="Normal"/>
              <w:widowControl w:val="false"/>
              <w:spacing w:lineRule="auto" w:line="264" w:before="40" w:after="40"/>
              <w:ind w:hanging="0"/>
              <w:rPr/>
            </w:pPr>
            <w:r>
              <w:rPr>
                <w:b w:val="false"/>
                <w:color w:val="000000"/>
                <w:sz w:val="18"/>
              </w:rPr>
              <w:t>37.777 ± 0.418</w:t>
            </w:r>
          </w:p>
        </w:tc>
        <w:tc>
          <w:tcPr>
            <w:tcW w:w="2023" w:type="dxa"/>
            <w:tcBorders/>
            <w:vAlign w:val="center"/>
          </w:tcPr>
          <w:p>
            <w:pPr>
              <w:pStyle w:val="Normal"/>
              <w:widowControl w:val="false"/>
              <w:spacing w:lineRule="auto" w:line="264" w:before="40" w:after="40"/>
              <w:ind w:hanging="0"/>
              <w:rPr/>
            </w:pPr>
            <w:r>
              <w:rPr>
                <w:b w:val="false"/>
                <w:color w:val="000000"/>
                <w:sz w:val="18"/>
              </w:rPr>
              <w:t>24.384 ± 0.178</w:t>
            </w:r>
          </w:p>
        </w:tc>
        <w:tc>
          <w:tcPr>
            <w:tcW w:w="1446" w:type="dxa"/>
            <w:tcBorders/>
            <w:vAlign w:val="center"/>
          </w:tcPr>
          <w:p>
            <w:pPr>
              <w:pStyle w:val="Normal"/>
              <w:widowControl w:val="false"/>
              <w:spacing w:lineRule="auto" w:line="264" w:before="40" w:after="40"/>
              <w:ind w:hanging="0"/>
              <w:rPr/>
            </w:pPr>
            <w:r>
              <w:rPr>
                <w:b w:val="false"/>
                <w:color w:val="000000"/>
                <w:sz w:val="18"/>
              </w:rPr>
              <w:t>275.174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Full_joint</w:t>
            </w:r>
            <w:r>
              <w:rPr>
                <w:rFonts w:ascii="Times New Roman" w:hAnsi="Times New Roman"/>
                <w:b w:val="false"/>
                <w:color w:val="000000"/>
                <w:sz w:val="18"/>
              </w:rPr>
              <w:t>（当前方法）</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历史</w:t>
            </w:r>
          </w:p>
        </w:tc>
        <w:tc>
          <w:tcPr>
            <w:tcW w:w="2022" w:type="dxa"/>
            <w:tcBorders/>
            <w:vAlign w:val="center"/>
          </w:tcPr>
          <w:p>
            <w:pPr>
              <w:pStyle w:val="Normal"/>
              <w:widowControl w:val="false"/>
              <w:spacing w:lineRule="auto" w:line="264" w:before="40" w:after="40"/>
              <w:ind w:hanging="0"/>
              <w:rPr/>
            </w:pPr>
            <w:r>
              <w:rPr>
                <w:b w:val="false"/>
                <w:color w:val="000000"/>
                <w:sz w:val="18"/>
              </w:rPr>
              <w:t>37.783 ± 0.439</w:t>
            </w:r>
          </w:p>
        </w:tc>
        <w:tc>
          <w:tcPr>
            <w:tcW w:w="2023" w:type="dxa"/>
            <w:tcBorders/>
            <w:vAlign w:val="center"/>
          </w:tcPr>
          <w:p>
            <w:pPr>
              <w:pStyle w:val="Normal"/>
              <w:widowControl w:val="false"/>
              <w:spacing w:lineRule="auto" w:line="264" w:before="40" w:after="40"/>
              <w:ind w:hanging="0"/>
              <w:rPr/>
            </w:pPr>
            <w:r>
              <w:rPr>
                <w:b w:val="false"/>
                <w:color w:val="000000"/>
                <w:sz w:val="18"/>
              </w:rPr>
              <w:t>24.392 ± 0.188</w:t>
            </w:r>
          </w:p>
        </w:tc>
        <w:tc>
          <w:tcPr>
            <w:tcW w:w="1446" w:type="dxa"/>
            <w:tcBorders/>
            <w:vAlign w:val="center"/>
          </w:tcPr>
          <w:p>
            <w:pPr>
              <w:pStyle w:val="Normal"/>
              <w:widowControl w:val="false"/>
              <w:spacing w:lineRule="auto" w:line="264" w:before="40" w:after="40"/>
              <w:ind w:hanging="0"/>
              <w:rPr/>
            </w:pPr>
            <w:r>
              <w:rPr>
                <w:b w:val="false"/>
                <w:color w:val="000000"/>
                <w:sz w:val="18"/>
              </w:rPr>
              <w:t>275.397</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Anchor_joint</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历史</w:t>
            </w:r>
          </w:p>
        </w:tc>
        <w:tc>
          <w:tcPr>
            <w:tcW w:w="2022" w:type="dxa"/>
            <w:tcBorders/>
            <w:vAlign w:val="center"/>
          </w:tcPr>
          <w:p>
            <w:pPr>
              <w:pStyle w:val="Normal"/>
              <w:widowControl w:val="false"/>
              <w:spacing w:lineRule="auto" w:line="264" w:before="40" w:after="40"/>
              <w:ind w:hanging="0"/>
              <w:rPr/>
            </w:pPr>
            <w:r>
              <w:rPr>
                <w:b w:val="false"/>
                <w:color w:val="000000"/>
                <w:sz w:val="18"/>
              </w:rPr>
              <w:t>37.908 ± 0.353</w:t>
            </w:r>
          </w:p>
        </w:tc>
        <w:tc>
          <w:tcPr>
            <w:tcW w:w="2023" w:type="dxa"/>
            <w:tcBorders/>
            <w:vAlign w:val="center"/>
          </w:tcPr>
          <w:p>
            <w:pPr>
              <w:pStyle w:val="Normal"/>
              <w:widowControl w:val="false"/>
              <w:spacing w:lineRule="auto" w:line="264" w:before="40" w:after="40"/>
              <w:ind w:hanging="0"/>
              <w:rPr/>
            </w:pPr>
            <w:r>
              <w:rPr>
                <w:b w:val="false"/>
                <w:color w:val="000000"/>
                <w:sz w:val="18"/>
              </w:rPr>
              <w:t>24.467 ± 0.142</w:t>
            </w:r>
          </w:p>
        </w:tc>
        <w:tc>
          <w:tcPr>
            <w:tcW w:w="1446" w:type="dxa"/>
            <w:tcBorders/>
            <w:vAlign w:val="center"/>
          </w:tcPr>
          <w:p>
            <w:pPr>
              <w:pStyle w:val="Normal"/>
              <w:widowControl w:val="false"/>
              <w:spacing w:lineRule="auto" w:line="264" w:before="40" w:after="40"/>
              <w:ind w:hanging="0"/>
              <w:rPr/>
            </w:pPr>
            <w:r>
              <w:rPr>
                <w:b w:val="false"/>
                <w:color w:val="000000"/>
                <w:sz w:val="18"/>
              </w:rPr>
              <w:t>275.967</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Full_joint_raw</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历史</w:t>
            </w:r>
          </w:p>
        </w:tc>
        <w:tc>
          <w:tcPr>
            <w:tcW w:w="2022" w:type="dxa"/>
            <w:tcBorders/>
            <w:vAlign w:val="center"/>
          </w:tcPr>
          <w:p>
            <w:pPr>
              <w:pStyle w:val="Normal"/>
              <w:widowControl w:val="false"/>
              <w:spacing w:lineRule="auto" w:line="264" w:before="40" w:after="40"/>
              <w:ind w:hanging="0"/>
              <w:rPr/>
            </w:pPr>
            <w:r>
              <w:rPr>
                <w:b w:val="false"/>
                <w:color w:val="000000"/>
                <w:sz w:val="18"/>
              </w:rPr>
              <w:t>37.930 ± 0.498</w:t>
            </w:r>
          </w:p>
        </w:tc>
        <w:tc>
          <w:tcPr>
            <w:tcW w:w="2023" w:type="dxa"/>
            <w:tcBorders/>
            <w:vAlign w:val="center"/>
          </w:tcPr>
          <w:p>
            <w:pPr>
              <w:pStyle w:val="Normal"/>
              <w:widowControl w:val="false"/>
              <w:spacing w:lineRule="auto" w:line="264" w:before="40" w:after="40"/>
              <w:ind w:hanging="0"/>
              <w:rPr/>
            </w:pPr>
            <w:r>
              <w:rPr>
                <w:b w:val="false"/>
                <w:color w:val="000000"/>
                <w:sz w:val="18"/>
              </w:rPr>
              <w:t>24.526 ± 0.262</w:t>
            </w:r>
          </w:p>
        </w:tc>
        <w:tc>
          <w:tcPr>
            <w:tcW w:w="1446" w:type="dxa"/>
            <w:tcBorders/>
            <w:vAlign w:val="center"/>
          </w:tcPr>
          <w:p>
            <w:pPr>
              <w:pStyle w:val="Normal"/>
              <w:widowControl w:val="false"/>
              <w:spacing w:lineRule="auto" w:line="264" w:before="40" w:after="40"/>
              <w:ind w:hanging="0"/>
              <w:rPr/>
            </w:pPr>
            <w:r>
              <w:rPr>
                <w:b w:val="false"/>
                <w:color w:val="000000"/>
                <w:sz w:val="18"/>
              </w:rPr>
              <w:t>275.422</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XGBoost</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37.930 ± 0.074</w:t>
            </w:r>
          </w:p>
        </w:tc>
        <w:tc>
          <w:tcPr>
            <w:tcW w:w="2023" w:type="dxa"/>
            <w:tcBorders/>
            <w:vAlign w:val="center"/>
          </w:tcPr>
          <w:p>
            <w:pPr>
              <w:pStyle w:val="Normal"/>
              <w:widowControl w:val="false"/>
              <w:spacing w:lineRule="auto" w:line="264" w:before="40" w:after="40"/>
              <w:ind w:hanging="0"/>
              <w:rPr/>
            </w:pPr>
            <w:r>
              <w:rPr>
                <w:b w:val="false"/>
                <w:color w:val="000000"/>
                <w:sz w:val="18"/>
              </w:rPr>
              <w:t>25.622 ± 0.019</w:t>
            </w:r>
          </w:p>
        </w:tc>
        <w:tc>
          <w:tcPr>
            <w:tcW w:w="1446" w:type="dxa"/>
            <w:tcBorders/>
            <w:vAlign w:val="center"/>
          </w:tcPr>
          <w:p>
            <w:pPr>
              <w:pStyle w:val="Normal"/>
              <w:widowControl w:val="false"/>
              <w:spacing w:lineRule="auto" w:line="264" w:before="40" w:after="40"/>
              <w:ind w:hanging="0"/>
              <w:rPr/>
            </w:pPr>
            <w:r>
              <w:rPr>
                <w:b w:val="false"/>
                <w:color w:val="000000"/>
                <w:sz w:val="18"/>
              </w:rPr>
              <w:t>277.594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XGBoost+CP</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37.930 ± 0.074</w:t>
            </w:r>
          </w:p>
        </w:tc>
        <w:tc>
          <w:tcPr>
            <w:tcW w:w="2023" w:type="dxa"/>
            <w:tcBorders/>
            <w:vAlign w:val="center"/>
          </w:tcPr>
          <w:p>
            <w:pPr>
              <w:pStyle w:val="Normal"/>
              <w:widowControl w:val="false"/>
              <w:spacing w:lineRule="auto" w:line="264" w:before="40" w:after="40"/>
              <w:ind w:hanging="0"/>
              <w:rPr/>
            </w:pPr>
            <w:r>
              <w:rPr>
                <w:b w:val="false"/>
                <w:color w:val="000000"/>
                <w:sz w:val="18"/>
              </w:rPr>
              <w:t>31.325 ± 0.159</w:t>
            </w:r>
          </w:p>
        </w:tc>
        <w:tc>
          <w:tcPr>
            <w:tcW w:w="1446" w:type="dxa"/>
            <w:tcBorders/>
            <w:vAlign w:val="center"/>
          </w:tcPr>
          <w:p>
            <w:pPr>
              <w:pStyle w:val="Normal"/>
              <w:widowControl w:val="false"/>
              <w:spacing w:lineRule="auto" w:line="264" w:before="40" w:after="40"/>
              <w:ind w:hanging="0"/>
              <w:rPr/>
            </w:pPr>
            <w:r>
              <w:rPr>
                <w:b w:val="false"/>
                <w:color w:val="000000"/>
                <w:sz w:val="18"/>
              </w:rPr>
              <w:t>277.594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LightGBM+QRA</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41.577 ± 0.150</w:t>
            </w:r>
          </w:p>
        </w:tc>
        <w:tc>
          <w:tcPr>
            <w:tcW w:w="2023" w:type="dxa"/>
            <w:tcBorders/>
            <w:vAlign w:val="center"/>
          </w:tcPr>
          <w:p>
            <w:pPr>
              <w:pStyle w:val="Normal"/>
              <w:widowControl w:val="false"/>
              <w:spacing w:lineRule="auto" w:line="264" w:before="40" w:after="40"/>
              <w:ind w:hanging="0"/>
              <w:rPr/>
            </w:pPr>
            <w:r>
              <w:rPr>
                <w:b w:val="false"/>
                <w:color w:val="000000"/>
                <w:sz w:val="18"/>
              </w:rPr>
              <w:t>27.161 ± 0.026</w:t>
            </w:r>
          </w:p>
        </w:tc>
        <w:tc>
          <w:tcPr>
            <w:tcW w:w="1446" w:type="dxa"/>
            <w:tcBorders/>
            <w:vAlign w:val="center"/>
          </w:tcPr>
          <w:p>
            <w:pPr>
              <w:pStyle w:val="Normal"/>
              <w:widowControl w:val="false"/>
              <w:spacing w:lineRule="auto" w:line="264" w:before="40" w:after="40"/>
              <w:ind w:hanging="0"/>
              <w:rPr/>
            </w:pPr>
            <w:r>
              <w:rPr>
                <w:b w:val="false"/>
                <w:color w:val="000000"/>
                <w:sz w:val="18"/>
              </w:rPr>
              <w:t>269.466</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TabPFN-3</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44.134 ± 0.040</w:t>
            </w:r>
          </w:p>
        </w:tc>
        <w:tc>
          <w:tcPr>
            <w:tcW w:w="2023" w:type="dxa"/>
            <w:tcBorders/>
            <w:vAlign w:val="center"/>
          </w:tcPr>
          <w:p>
            <w:pPr>
              <w:pStyle w:val="Normal"/>
              <w:widowControl w:val="false"/>
              <w:spacing w:lineRule="auto" w:line="264" w:before="40" w:after="40"/>
              <w:ind w:hanging="0"/>
              <w:rPr/>
            </w:pPr>
            <w:r>
              <w:rPr>
                <w:b w:val="false"/>
                <w:color w:val="000000"/>
                <w:sz w:val="18"/>
              </w:rPr>
              <w:t>39.479 ± 0.112</w:t>
            </w:r>
          </w:p>
        </w:tc>
        <w:tc>
          <w:tcPr>
            <w:tcW w:w="1446" w:type="dxa"/>
            <w:tcBorders/>
            <w:vAlign w:val="center"/>
          </w:tcPr>
          <w:p>
            <w:pPr>
              <w:pStyle w:val="Normal"/>
              <w:widowControl w:val="false"/>
              <w:spacing w:lineRule="auto" w:line="264" w:before="40" w:after="40"/>
              <w:ind w:hanging="0"/>
              <w:rPr/>
            </w:pPr>
            <w:r>
              <w:rPr>
                <w:b w:val="false"/>
                <w:color w:val="000000"/>
                <w:sz w:val="18"/>
              </w:rPr>
              <w:t>275.380</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PatchTST</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44.764 ± 0.456</w:t>
            </w:r>
          </w:p>
        </w:tc>
        <w:tc>
          <w:tcPr>
            <w:tcW w:w="2023" w:type="dxa"/>
            <w:tcBorders/>
            <w:vAlign w:val="center"/>
          </w:tcPr>
          <w:p>
            <w:pPr>
              <w:pStyle w:val="Normal"/>
              <w:widowControl w:val="false"/>
              <w:spacing w:lineRule="auto" w:line="264" w:before="40" w:after="40"/>
              <w:ind w:hanging="0"/>
              <w:rPr/>
            </w:pPr>
            <w:r>
              <w:rPr>
                <w:b w:val="false"/>
                <w:color w:val="000000"/>
                <w:sz w:val="18"/>
              </w:rPr>
              <w:t>27.483 ± 0.315</w:t>
            </w:r>
          </w:p>
        </w:tc>
        <w:tc>
          <w:tcPr>
            <w:tcW w:w="1446" w:type="dxa"/>
            <w:tcBorders/>
            <w:vAlign w:val="center"/>
          </w:tcPr>
          <w:p>
            <w:pPr>
              <w:pStyle w:val="Normal"/>
              <w:widowControl w:val="false"/>
              <w:spacing w:lineRule="auto" w:line="264" w:before="40" w:after="40"/>
              <w:ind w:hanging="0"/>
              <w:rPr/>
            </w:pPr>
            <w:r>
              <w:rPr>
                <w:b w:val="false"/>
                <w:color w:val="000000"/>
                <w:sz w:val="18"/>
              </w:rPr>
              <w:t>272.834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GateTS</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46.096 ± 0.326</w:t>
            </w:r>
          </w:p>
        </w:tc>
        <w:tc>
          <w:tcPr>
            <w:tcW w:w="2023" w:type="dxa"/>
            <w:tcBorders/>
            <w:vAlign w:val="center"/>
          </w:tcPr>
          <w:p>
            <w:pPr>
              <w:pStyle w:val="Normal"/>
              <w:widowControl w:val="false"/>
              <w:spacing w:lineRule="auto" w:line="264" w:before="40" w:after="40"/>
              <w:ind w:hanging="0"/>
              <w:rPr/>
            </w:pPr>
            <w:r>
              <w:rPr>
                <w:b w:val="false"/>
                <w:color w:val="000000"/>
                <w:sz w:val="18"/>
              </w:rPr>
              <w:t>27.842 ± 0.191</w:t>
            </w:r>
          </w:p>
        </w:tc>
        <w:tc>
          <w:tcPr>
            <w:tcW w:w="1446" w:type="dxa"/>
            <w:tcBorders/>
            <w:vAlign w:val="center"/>
          </w:tcPr>
          <w:p>
            <w:pPr>
              <w:pStyle w:val="Normal"/>
              <w:widowControl w:val="false"/>
              <w:spacing w:lineRule="auto" w:line="264" w:before="40" w:after="40"/>
              <w:ind w:hanging="0"/>
              <w:rPr/>
            </w:pPr>
            <w:r>
              <w:rPr>
                <w:b w:val="false"/>
                <w:color w:val="000000"/>
                <w:sz w:val="18"/>
              </w:rPr>
              <w:t>273.100</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TimeXer</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46.624 ± 0.470</w:t>
            </w:r>
          </w:p>
        </w:tc>
        <w:tc>
          <w:tcPr>
            <w:tcW w:w="2023" w:type="dxa"/>
            <w:tcBorders/>
            <w:vAlign w:val="center"/>
          </w:tcPr>
          <w:p>
            <w:pPr>
              <w:pStyle w:val="Normal"/>
              <w:widowControl w:val="false"/>
              <w:spacing w:lineRule="auto" w:line="264" w:before="40" w:after="40"/>
              <w:ind w:hanging="0"/>
              <w:rPr/>
            </w:pPr>
            <w:r>
              <w:rPr>
                <w:b w:val="false"/>
                <w:color w:val="000000"/>
                <w:sz w:val="18"/>
              </w:rPr>
              <w:t>30.014 ± 0.415</w:t>
            </w:r>
          </w:p>
        </w:tc>
        <w:tc>
          <w:tcPr>
            <w:tcW w:w="1446" w:type="dxa"/>
            <w:tcBorders/>
            <w:vAlign w:val="center"/>
          </w:tcPr>
          <w:p>
            <w:pPr>
              <w:pStyle w:val="Normal"/>
              <w:widowControl w:val="false"/>
              <w:spacing w:lineRule="auto" w:line="264" w:before="40" w:after="40"/>
              <w:ind w:hanging="0"/>
              <w:rPr/>
            </w:pPr>
            <w:r>
              <w:rPr>
                <w:b w:val="false"/>
                <w:color w:val="000000"/>
                <w:sz w:val="18"/>
              </w:rPr>
              <w:t>279.118</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Linear</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46.823 ± 0.310</w:t>
            </w:r>
          </w:p>
        </w:tc>
        <w:tc>
          <w:tcPr>
            <w:tcW w:w="2023" w:type="dxa"/>
            <w:tcBorders/>
            <w:vAlign w:val="center"/>
          </w:tcPr>
          <w:p>
            <w:pPr>
              <w:pStyle w:val="Normal"/>
              <w:widowControl w:val="false"/>
              <w:spacing w:lineRule="auto" w:line="264" w:before="40" w:after="40"/>
              <w:ind w:hanging="0"/>
              <w:rPr/>
            </w:pPr>
            <w:r>
              <w:rPr>
                <w:b w:val="false"/>
                <w:color w:val="000000"/>
                <w:sz w:val="18"/>
              </w:rPr>
              <w:t>28.090 ± 0.269</w:t>
            </w:r>
          </w:p>
        </w:tc>
        <w:tc>
          <w:tcPr>
            <w:tcW w:w="1446" w:type="dxa"/>
            <w:tcBorders/>
            <w:vAlign w:val="center"/>
          </w:tcPr>
          <w:p>
            <w:pPr>
              <w:pStyle w:val="Normal"/>
              <w:widowControl w:val="false"/>
              <w:spacing w:lineRule="auto" w:line="264" w:before="40" w:after="40"/>
              <w:ind w:hanging="0"/>
              <w:rPr/>
            </w:pPr>
            <w:r>
              <w:rPr>
                <w:b w:val="false"/>
                <w:color w:val="000000"/>
                <w:sz w:val="18"/>
              </w:rPr>
              <w:t>272.453</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DLinear</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46.898 ± 0.397</w:t>
            </w:r>
          </w:p>
        </w:tc>
        <w:tc>
          <w:tcPr>
            <w:tcW w:w="2023" w:type="dxa"/>
            <w:tcBorders/>
            <w:vAlign w:val="center"/>
          </w:tcPr>
          <w:p>
            <w:pPr>
              <w:pStyle w:val="Normal"/>
              <w:widowControl w:val="false"/>
              <w:spacing w:lineRule="auto" w:line="264" w:before="40" w:after="40"/>
              <w:ind w:hanging="0"/>
              <w:rPr/>
            </w:pPr>
            <w:r>
              <w:rPr>
                <w:b w:val="false"/>
                <w:color w:val="000000"/>
                <w:sz w:val="18"/>
              </w:rPr>
              <w:t>28.045 ± 0.199</w:t>
            </w:r>
          </w:p>
        </w:tc>
        <w:tc>
          <w:tcPr>
            <w:tcW w:w="1446" w:type="dxa"/>
            <w:tcBorders/>
            <w:vAlign w:val="center"/>
          </w:tcPr>
          <w:p>
            <w:pPr>
              <w:pStyle w:val="Normal"/>
              <w:widowControl w:val="false"/>
              <w:spacing w:lineRule="auto" w:line="264" w:before="40" w:after="40"/>
              <w:ind w:hanging="0"/>
              <w:rPr/>
            </w:pPr>
            <w:r>
              <w:rPr>
                <w:b w:val="false"/>
                <w:color w:val="000000"/>
                <w:sz w:val="18"/>
              </w:rPr>
              <w:t>272.209</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MLP</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47.705 ± 1.484</w:t>
            </w:r>
          </w:p>
        </w:tc>
        <w:tc>
          <w:tcPr>
            <w:tcW w:w="2023" w:type="dxa"/>
            <w:tcBorders/>
            <w:vAlign w:val="center"/>
          </w:tcPr>
          <w:p>
            <w:pPr>
              <w:pStyle w:val="Normal"/>
              <w:widowControl w:val="false"/>
              <w:spacing w:lineRule="auto" w:line="264" w:before="40" w:after="40"/>
              <w:ind w:hanging="0"/>
              <w:rPr/>
            </w:pPr>
            <w:r>
              <w:rPr>
                <w:b w:val="false"/>
                <w:color w:val="000000"/>
                <w:sz w:val="18"/>
              </w:rPr>
              <w:t>28.884 ± 0.719</w:t>
            </w:r>
          </w:p>
        </w:tc>
        <w:tc>
          <w:tcPr>
            <w:tcW w:w="1446" w:type="dxa"/>
            <w:tcBorders/>
            <w:vAlign w:val="center"/>
          </w:tcPr>
          <w:p>
            <w:pPr>
              <w:pStyle w:val="Normal"/>
              <w:widowControl w:val="false"/>
              <w:spacing w:lineRule="auto" w:line="264" w:before="40" w:after="40"/>
              <w:ind w:hanging="0"/>
              <w:rPr/>
            </w:pPr>
            <w:r>
              <w:rPr>
                <w:b w:val="false"/>
                <w:color w:val="000000"/>
                <w:sz w:val="18"/>
              </w:rPr>
              <w:t>276.738</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Chronos-2</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受限</w:t>
            </w:r>
          </w:p>
        </w:tc>
        <w:tc>
          <w:tcPr>
            <w:tcW w:w="2022" w:type="dxa"/>
            <w:tcBorders/>
            <w:vAlign w:val="center"/>
          </w:tcPr>
          <w:p>
            <w:pPr>
              <w:pStyle w:val="Normal"/>
              <w:widowControl w:val="false"/>
              <w:spacing w:lineRule="auto" w:line="264" w:before="40" w:after="40"/>
              <w:ind w:hanging="0"/>
              <w:rPr/>
            </w:pPr>
            <w:r>
              <w:rPr>
                <w:b w:val="false"/>
                <w:color w:val="000000"/>
                <w:sz w:val="18"/>
              </w:rPr>
              <w:t>48.527 ± 0.000</w:t>
            </w:r>
          </w:p>
        </w:tc>
        <w:tc>
          <w:tcPr>
            <w:tcW w:w="2023" w:type="dxa"/>
            <w:tcBorders/>
            <w:vAlign w:val="center"/>
          </w:tcPr>
          <w:p>
            <w:pPr>
              <w:pStyle w:val="Normal"/>
              <w:widowControl w:val="false"/>
              <w:spacing w:lineRule="auto" w:line="264" w:before="40" w:after="40"/>
              <w:ind w:hanging="0"/>
              <w:rPr/>
            </w:pPr>
            <w:r>
              <w:rPr>
                <w:b w:val="false"/>
                <w:color w:val="000000"/>
                <w:sz w:val="18"/>
              </w:rPr>
              <w:t>32.495 ± 0.000</w:t>
            </w:r>
          </w:p>
        </w:tc>
        <w:tc>
          <w:tcPr>
            <w:tcW w:w="1446" w:type="dxa"/>
            <w:tcBorders/>
            <w:vAlign w:val="center"/>
          </w:tcPr>
          <w:p>
            <w:pPr>
              <w:pStyle w:val="Normal"/>
              <w:widowControl w:val="false"/>
              <w:spacing w:lineRule="auto" w:line="264" w:before="40" w:after="40"/>
              <w:ind w:hanging="0"/>
              <w:rPr/>
            </w:pPr>
            <w:r>
              <w:rPr>
                <w:b w:val="false"/>
                <w:color w:val="000000"/>
                <w:sz w:val="18"/>
              </w:rPr>
              <w:t>352.033</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PriceFM</w:t>
            </w:r>
            <w:r>
              <w:rPr>
                <w:rFonts w:ascii="Times New Roman" w:hAnsi="Times New Roman"/>
                <w:b w:val="false"/>
                <w:color w:val="000000"/>
                <w:sz w:val="18"/>
              </w:rPr>
              <w:t>（本地移植）</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51.162 ± 0.122</w:t>
            </w:r>
          </w:p>
        </w:tc>
        <w:tc>
          <w:tcPr>
            <w:tcW w:w="2023" w:type="dxa"/>
            <w:tcBorders/>
            <w:vAlign w:val="center"/>
          </w:tcPr>
          <w:p>
            <w:pPr>
              <w:pStyle w:val="Normal"/>
              <w:widowControl w:val="false"/>
              <w:spacing w:lineRule="auto" w:line="264" w:before="40" w:after="40"/>
              <w:ind w:hanging="0"/>
              <w:rPr/>
            </w:pPr>
            <w:r>
              <w:rPr>
                <w:b w:val="false"/>
                <w:color w:val="000000"/>
                <w:sz w:val="18"/>
              </w:rPr>
              <w:t>30.939 ± 0.549</w:t>
            </w:r>
          </w:p>
        </w:tc>
        <w:tc>
          <w:tcPr>
            <w:tcW w:w="1446" w:type="dxa"/>
            <w:tcBorders/>
            <w:vAlign w:val="center"/>
          </w:tcPr>
          <w:p>
            <w:pPr>
              <w:pStyle w:val="Normal"/>
              <w:widowControl w:val="false"/>
              <w:spacing w:lineRule="auto" w:line="264" w:before="40" w:after="40"/>
              <w:ind w:hanging="0"/>
              <w:rPr/>
            </w:pPr>
            <w:r>
              <w:rPr>
                <w:b w:val="false"/>
                <w:color w:val="000000"/>
                <w:sz w:val="18"/>
              </w:rPr>
              <w:t>278.100</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Moirai-2</w:t>
            </w:r>
          </w:p>
        </w:tc>
        <w:tc>
          <w:tcPr>
            <w:tcW w:w="868" w:type="dxa"/>
            <w:tcBorders/>
            <w:vAlign w:val="center"/>
          </w:tcPr>
          <w:p>
            <w:pPr>
              <w:pStyle w:val="Normal"/>
              <w:widowControl w:val="false"/>
              <w:spacing w:lineRule="auto" w:line="264" w:before="40" w:after="40"/>
              <w:ind w:hanging="0"/>
              <w:rPr/>
            </w:pPr>
            <w:r>
              <w:rPr>
                <w:b w:val="false"/>
                <w:color w:val="000000"/>
                <w:sz w:val="18"/>
              </w:rPr>
              <w:t>P/</w:t>
            </w:r>
            <w:r>
              <w:rPr>
                <w:rFonts w:ascii="Times New Roman" w:hAnsi="Times New Roman"/>
                <w:b w:val="false"/>
                <w:color w:val="000000"/>
                <w:sz w:val="18"/>
              </w:rPr>
              <w:t>受限</w:t>
            </w:r>
          </w:p>
        </w:tc>
        <w:tc>
          <w:tcPr>
            <w:tcW w:w="2022" w:type="dxa"/>
            <w:tcBorders/>
            <w:vAlign w:val="center"/>
          </w:tcPr>
          <w:p>
            <w:pPr>
              <w:pStyle w:val="Normal"/>
              <w:widowControl w:val="false"/>
              <w:spacing w:lineRule="auto" w:line="264" w:before="40" w:after="40"/>
              <w:ind w:hanging="0"/>
              <w:rPr/>
            </w:pPr>
            <w:r>
              <w:rPr>
                <w:b w:val="false"/>
                <w:color w:val="000000"/>
                <w:sz w:val="18"/>
              </w:rPr>
              <w:t>55.754 ± 0.000</w:t>
            </w:r>
          </w:p>
        </w:tc>
        <w:tc>
          <w:tcPr>
            <w:tcW w:w="2023" w:type="dxa"/>
            <w:tcBorders/>
            <w:vAlign w:val="center"/>
          </w:tcPr>
          <w:p>
            <w:pPr>
              <w:pStyle w:val="Normal"/>
              <w:widowControl w:val="false"/>
              <w:spacing w:lineRule="auto" w:line="264" w:before="40" w:after="40"/>
              <w:ind w:hanging="0"/>
              <w:rPr/>
            </w:pPr>
            <w:r>
              <w:rPr>
                <w:b w:val="false"/>
                <w:color w:val="000000"/>
                <w:sz w:val="18"/>
              </w:rPr>
              <w:t>—</w:t>
            </w:r>
          </w:p>
        </w:tc>
        <w:tc>
          <w:tcPr>
            <w:tcW w:w="1446" w:type="dxa"/>
            <w:tcBorders/>
            <w:vAlign w:val="center"/>
          </w:tcPr>
          <w:p>
            <w:pPr>
              <w:pStyle w:val="Normal"/>
              <w:widowControl w:val="false"/>
              <w:spacing w:lineRule="auto" w:line="264" w:before="40" w:after="40"/>
              <w:ind w:hanging="0"/>
              <w:rPr/>
            </w:pPr>
            <w:r>
              <w:rPr>
                <w:b w:val="false"/>
                <w:color w:val="000000"/>
                <w:sz w:val="18"/>
              </w:rPr>
              <w:t>291.784</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DDNN-JSU</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57.275 ± 0.951</w:t>
            </w:r>
          </w:p>
        </w:tc>
        <w:tc>
          <w:tcPr>
            <w:tcW w:w="2023" w:type="dxa"/>
            <w:tcBorders/>
            <w:vAlign w:val="center"/>
          </w:tcPr>
          <w:p>
            <w:pPr>
              <w:pStyle w:val="Normal"/>
              <w:widowControl w:val="false"/>
              <w:spacing w:lineRule="auto" w:line="264" w:before="40" w:after="40"/>
              <w:ind w:hanging="0"/>
              <w:rPr/>
            </w:pPr>
            <w:r>
              <w:rPr>
                <w:b w:val="false"/>
                <w:color w:val="000000"/>
                <w:sz w:val="18"/>
              </w:rPr>
              <w:t>140.861 ± 90.757</w:t>
            </w:r>
          </w:p>
        </w:tc>
        <w:tc>
          <w:tcPr>
            <w:tcW w:w="1446" w:type="dxa"/>
            <w:tcBorders/>
            <w:vAlign w:val="center"/>
          </w:tcPr>
          <w:p>
            <w:pPr>
              <w:pStyle w:val="Normal"/>
              <w:widowControl w:val="false"/>
              <w:spacing w:lineRule="auto" w:line="264" w:before="40" w:after="40"/>
              <w:ind w:hanging="0"/>
              <w:rPr/>
            </w:pPr>
            <w:r>
              <w:rPr>
                <w:b w:val="false"/>
                <w:color w:val="000000"/>
                <w:sz w:val="18"/>
              </w:rPr>
              <w:t>416.812</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Lasso-ARX72+CP</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59.051 ± 0.000</w:t>
            </w:r>
          </w:p>
        </w:tc>
        <w:tc>
          <w:tcPr>
            <w:tcW w:w="2023" w:type="dxa"/>
            <w:tcBorders/>
            <w:vAlign w:val="center"/>
          </w:tcPr>
          <w:p>
            <w:pPr>
              <w:pStyle w:val="Normal"/>
              <w:widowControl w:val="false"/>
              <w:spacing w:lineRule="auto" w:line="264" w:before="40" w:after="40"/>
              <w:ind w:hanging="0"/>
              <w:rPr/>
            </w:pPr>
            <w:r>
              <w:rPr>
                <w:b w:val="false"/>
                <w:color w:val="000000"/>
                <w:sz w:val="18"/>
              </w:rPr>
              <w:t>42.702 ± 0.000</w:t>
            </w:r>
          </w:p>
        </w:tc>
        <w:tc>
          <w:tcPr>
            <w:tcW w:w="1446" w:type="dxa"/>
            <w:tcBorders/>
            <w:vAlign w:val="center"/>
          </w:tcPr>
          <w:p>
            <w:pPr>
              <w:pStyle w:val="Normal"/>
              <w:widowControl w:val="false"/>
              <w:spacing w:lineRule="auto" w:line="264" w:before="40" w:after="40"/>
              <w:ind w:hanging="0"/>
              <w:rPr/>
            </w:pPr>
            <w:r>
              <w:rPr>
                <w:b w:val="false"/>
                <w:color w:val="000000"/>
                <w:sz w:val="18"/>
              </w:rPr>
              <w:t>288.006</w:t>
            </w:r>
          </w:p>
        </w:tc>
      </w:tr>
      <w:tr>
        <w:trPr>
          <w:cantSplit w:val="true"/>
        </w:trPr>
        <w:tc>
          <w:tcPr>
            <w:tcW w:w="2600" w:type="dxa"/>
            <w:tcBorders/>
            <w:vAlign w:val="center"/>
          </w:tcPr>
          <w:p>
            <w:pPr>
              <w:pStyle w:val="Normal"/>
              <w:widowControl w:val="false"/>
              <w:spacing w:lineRule="auto" w:line="264" w:before="40" w:after="40"/>
              <w:ind w:hanging="0"/>
              <w:rPr/>
            </w:pPr>
            <w:r>
              <w:rPr>
                <w:b w:val="false"/>
                <w:color w:val="000000"/>
                <w:sz w:val="18"/>
              </w:rPr>
              <w:t>N-HiTS+QRA</w:t>
            </w:r>
          </w:p>
        </w:tc>
        <w:tc>
          <w:tcPr>
            <w:tcW w:w="868" w:type="dxa"/>
            <w:tcBorders/>
            <w:vAlign w:val="center"/>
          </w:tcPr>
          <w:p>
            <w:pPr>
              <w:pStyle w:val="Normal"/>
              <w:widowControl w:val="false"/>
              <w:spacing w:lineRule="auto" w:line="264" w:before="40" w:after="40"/>
              <w:ind w:hanging="0"/>
              <w:rPr/>
            </w:pPr>
            <w:r>
              <w:rPr>
                <w:b w:val="false"/>
                <w:color w:val="000000"/>
                <w:sz w:val="18"/>
              </w:rPr>
              <w:t>Q/</w:t>
            </w:r>
            <w:r>
              <w:rPr>
                <w:rFonts w:ascii="Times New Roman" w:hAnsi="Times New Roman"/>
                <w:b w:val="false"/>
                <w:color w:val="000000"/>
                <w:sz w:val="18"/>
              </w:rPr>
              <w:t>公共</w:t>
            </w:r>
          </w:p>
        </w:tc>
        <w:tc>
          <w:tcPr>
            <w:tcW w:w="2022" w:type="dxa"/>
            <w:tcBorders/>
            <w:vAlign w:val="center"/>
          </w:tcPr>
          <w:p>
            <w:pPr>
              <w:pStyle w:val="Normal"/>
              <w:widowControl w:val="false"/>
              <w:spacing w:lineRule="auto" w:line="264" w:before="40" w:after="40"/>
              <w:ind w:hanging="0"/>
              <w:rPr/>
            </w:pPr>
            <w:r>
              <w:rPr>
                <w:b w:val="false"/>
                <w:color w:val="000000"/>
                <w:sz w:val="18"/>
              </w:rPr>
              <w:t>60.746 ± 0.607</w:t>
            </w:r>
          </w:p>
        </w:tc>
        <w:tc>
          <w:tcPr>
            <w:tcW w:w="2023" w:type="dxa"/>
            <w:tcBorders/>
            <w:vAlign w:val="center"/>
          </w:tcPr>
          <w:p>
            <w:pPr>
              <w:pStyle w:val="Normal"/>
              <w:widowControl w:val="false"/>
              <w:spacing w:lineRule="auto" w:line="264" w:before="40" w:after="40"/>
              <w:ind w:hanging="0"/>
              <w:rPr/>
            </w:pPr>
            <w:r>
              <w:rPr>
                <w:b w:val="false"/>
                <w:color w:val="000000"/>
                <w:sz w:val="18"/>
              </w:rPr>
              <w:t>36.498 ± 0.226</w:t>
            </w:r>
          </w:p>
        </w:tc>
        <w:tc>
          <w:tcPr>
            <w:tcW w:w="1446" w:type="dxa"/>
            <w:tcBorders/>
            <w:vAlign w:val="center"/>
          </w:tcPr>
          <w:p>
            <w:pPr>
              <w:pStyle w:val="Normal"/>
              <w:widowControl w:val="false"/>
              <w:spacing w:lineRule="auto" w:line="264" w:before="40" w:after="40"/>
              <w:ind w:hanging="0"/>
              <w:rPr/>
            </w:pPr>
            <w:r>
              <w:rPr>
                <w:b w:val="false"/>
                <w:color w:val="000000"/>
                <w:sz w:val="18"/>
              </w:rPr>
              <w:t>302.593</w:t>
            </w:r>
          </w:p>
        </w:tc>
      </w:tr>
      <w:tr>
        <w:trPr>
          <w:cantSplit w:val="true"/>
        </w:trPr>
        <w:tc>
          <w:tcPr>
            <w:tcW w:w="2600"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TimesFM-2.5+XReg</w:t>
            </w:r>
          </w:p>
        </w:tc>
        <w:tc>
          <w:tcPr>
            <w:tcW w:w="86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P/</w:t>
            </w:r>
            <w:r>
              <w:rPr>
                <w:rFonts w:ascii="Times New Roman" w:hAnsi="Times New Roman"/>
                <w:b w:val="false"/>
                <w:color w:val="000000"/>
                <w:sz w:val="18"/>
              </w:rPr>
              <w:t>受限</w:t>
            </w:r>
          </w:p>
        </w:tc>
        <w:tc>
          <w:tcPr>
            <w:tcW w:w="2022"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78.266 ± 0.000</w:t>
            </w:r>
          </w:p>
        </w:tc>
        <w:tc>
          <w:tcPr>
            <w:tcW w:w="2023"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w:t>
            </w:r>
          </w:p>
        </w:tc>
        <w:tc>
          <w:tcPr>
            <w:tcW w:w="1446"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351.874</w:t>
            </w:r>
          </w:p>
        </w:tc>
      </w:tr>
    </w:tbl>
    <w:p>
      <w:pPr>
        <w:pStyle w:val="Normal"/>
        <w:spacing w:before="0" w:after="0"/>
        <w:rPr/>
      </w:pPr>
      <w:r>
        <w:rPr/>
      </w:r>
    </w:p>
    <w:p>
      <w:pPr>
        <w:pStyle w:val="Normal"/>
        <w:jc w:val="both"/>
        <w:rPr/>
      </w:pPr>
      <w:r>
        <w:rPr/>
        <w:t>LightGBM</w:t>
      </w:r>
      <w:r>
        <w:rPr/>
        <w:t>在</w:t>
      </w:r>
      <w:r>
        <w:rPr/>
        <w:t>19</w:t>
      </w:r>
      <w:r>
        <w:rPr/>
        <w:t>个基线中具有最低的总体</w:t>
      </w:r>
      <w:r>
        <w:rPr/>
        <w:t>MAE</w:t>
      </w:r>
      <w:r>
        <w:rPr/>
        <w:t>和</w:t>
      </w:r>
      <w:r>
        <w:rPr/>
        <w:t>QS</w:t>
      </w:r>
      <w:r>
        <w:rPr/>
        <w:t>。联合方法的</w:t>
      </w:r>
      <w:r>
        <w:rPr/>
        <w:t>MAE</w:t>
      </w:r>
      <w:r>
        <w:rPr/>
        <w:t>为</w:t>
      </w:r>
      <w:r>
        <w:rPr/>
        <w:t>37.783</w:t>
      </w:r>
      <w:r>
        <w:rPr/>
        <w:t>，较</w:t>
      </w:r>
      <w:r>
        <w:rPr/>
        <w:t>LightGBM</w:t>
      </w:r>
      <w:r>
        <w:rPr/>
        <w:t>增加</w:t>
      </w:r>
      <w:r>
        <w:rPr/>
        <w:t>0.681</w:t>
      </w:r>
      <w:r>
        <w:rPr/>
        <w:t>，即</w:t>
      </w:r>
      <w:r>
        <w:rPr/>
        <w:t>1.84%</w:t>
      </w:r>
      <w:r>
        <w:rPr/>
        <w:t>；</w:t>
      </w:r>
      <w:r>
        <w:rPr/>
        <w:t>QS</w:t>
      </w:r>
      <w:r>
        <w:rPr/>
        <w:t>为</w:t>
      </w:r>
      <w:r>
        <w:rPr/>
        <w:t>24.392</w:t>
      </w:r>
      <w:r>
        <w:rPr/>
        <w:t>，增加</w:t>
      </w:r>
      <w:r>
        <w:rPr/>
        <w:t>0.201</w:t>
      </w:r>
      <w:r>
        <w:rPr/>
        <w:t>，即</w:t>
      </w:r>
      <w:r>
        <w:rPr/>
        <w:t>0.83%</w:t>
      </w:r>
      <w:r>
        <w:rPr/>
        <w:t>。其地区平均</w:t>
      </w:r>
      <w:r>
        <w:rPr/>
        <w:t>RMSE</w:t>
      </w:r>
      <w:r>
        <w:rPr/>
        <w:t>由</w:t>
      </w:r>
      <w:r>
        <w:rPr/>
        <w:t>277.064</w:t>
      </w:r>
      <w:r>
        <w:rPr/>
        <w:t>降至</w:t>
      </w:r>
      <w:r>
        <w:rPr/>
        <w:t>275.397</w:t>
      </w:r>
      <w:r>
        <w:rPr/>
        <w:t>，改善约</w:t>
      </w:r>
      <w:r>
        <w:rPr/>
        <w:t>0.60%</w:t>
      </w:r>
      <w:r>
        <w:rPr/>
        <w:t>。相对</w:t>
      </w:r>
      <w:r>
        <w:rPr/>
        <w:t>XGBoost</w:t>
      </w:r>
      <w:r>
        <w:rPr/>
        <w:t>，联合方法的</w:t>
      </w:r>
      <w:r>
        <w:rPr/>
        <w:t>MAE</w:t>
      </w:r>
      <w:r>
        <w:rPr/>
        <w:t>与</w:t>
      </w:r>
      <w:r>
        <w:rPr/>
        <w:t>QS</w:t>
      </w:r>
      <w:r>
        <w:rPr/>
        <w:t>分别降低约</w:t>
      </w:r>
      <w:r>
        <w:rPr/>
        <w:t>0.39%</w:t>
      </w:r>
      <w:r>
        <w:rPr/>
        <w:t>和</w:t>
      </w:r>
      <w:r>
        <w:rPr/>
        <w:t>4.80%</w:t>
      </w:r>
      <w:r>
        <w:rPr/>
        <w:t>。这些结果表明，联合方法接近强树基线，但尚未获得全面优势。</w:t>
      </w:r>
    </w:p>
    <w:p>
      <w:pPr>
        <w:pStyle w:val="Normal"/>
        <w:keepNext w:val="true"/>
        <w:spacing w:lineRule="auto" w:line="240"/>
        <w:ind w:hanging="0"/>
        <w:jc w:val="center"/>
        <w:rPr/>
      </w:pPr>
      <w:r>
        <w:rPr/>
        <w:drawing>
          <wp:inline distT="0" distB="0" distL="0" distR="0">
            <wp:extent cx="5579745" cy="446405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8"/>
                    <a:stretch>
                      <a:fillRect/>
                    </a:stretch>
                  </pic:blipFill>
                  <pic:spPr bwMode="auto">
                    <a:xfrm>
                      <a:off x="0" y="0"/>
                      <a:ext cx="5579745" cy="4464050"/>
                    </a:xfrm>
                    <a:prstGeom prst="rect">
                      <a:avLst/>
                    </a:prstGeom>
                  </pic:spPr>
                </pic:pic>
              </a:graphicData>
            </a:graphic>
          </wp:inline>
        </w:drawing>
      </w:r>
    </w:p>
    <w:p>
      <w:pPr>
        <w:pStyle w:val="Caption1"/>
        <w:rPr/>
      </w:pPr>
      <w:r>
        <w:rPr/>
        <w:t>图</w:t>
      </w:r>
      <w:r>
        <w:rPr/>
        <w:t>5-1  19</w:t>
      </w:r>
      <w:r>
        <w:rPr/>
        <w:t>个基线与联合方法的宏平均</w:t>
      </w:r>
      <w:r>
        <w:rPr/>
        <w:t>MAE</w:t>
      </w:r>
    </w:p>
    <w:p>
      <w:pPr>
        <w:pStyle w:val="Normal"/>
        <w:jc w:val="both"/>
        <w:rPr/>
      </w:pPr>
      <w:r>
        <w:rPr/>
        <w:t>LightGBM+QRA</w:t>
      </w:r>
      <w:r>
        <w:rPr/>
        <w:t>的</w:t>
      </w:r>
      <w:r>
        <w:rPr/>
        <w:t>RMSE</w:t>
      </w:r>
      <w:r>
        <w:rPr/>
        <w:t>为</w:t>
      </w:r>
      <w:r>
        <w:rPr/>
        <w:t>269.466</w:t>
      </w:r>
      <w:r>
        <w:rPr/>
        <w:t>，低于联合方法，但其</w:t>
      </w:r>
      <w:r>
        <w:rPr/>
        <w:t>MAE</w:t>
      </w:r>
      <w:r>
        <w:rPr/>
        <w:t>和</w:t>
      </w:r>
      <w:r>
        <w:rPr/>
        <w:t>QS</w:t>
      </w:r>
      <w:r>
        <w:rPr/>
        <w:t>更高，说明不同指标反映了不同误差权衡。深度网络与基础模型在本文固定配置下也未自动获得更优表现；尤其是</w:t>
      </w:r>
      <w:r>
        <w:rPr/>
        <w:t>PriceFM</w:t>
      </w:r>
      <w:r>
        <w:rPr/>
        <w:t>本地移植及基础模型受限输入，使该比较不能直接推广为各模型原始论文能力的排序。</w:t>
      </w:r>
    </w:p>
    <w:p>
      <w:pPr>
        <w:pStyle w:val="Heading2"/>
        <w:rPr/>
      </w:pPr>
      <w:bookmarkStart w:id="29" w:name="__RefHeading___Toc4065_610684220"/>
      <w:bookmarkEnd w:id="29"/>
      <w:r>
        <w:rPr/>
        <w:t xml:space="preserve">5.2 </w:t>
      </w:r>
      <w:r>
        <w:rPr/>
        <w:t>不同地区的预测表现</w:t>
      </w:r>
    </w:p>
    <w:p>
      <w:pPr>
        <w:pStyle w:val="Caption1"/>
        <w:keepNext w:val="true"/>
        <w:rPr/>
      </w:pPr>
      <w:r>
        <w:rPr/>
        <w:t>表</w:t>
      </w:r>
      <w:r>
        <w:rPr/>
        <w:t xml:space="preserve">5-2  </w:t>
      </w:r>
      <w:r>
        <w:rPr/>
        <w:t>三个地区的核心模型比较</w:t>
      </w:r>
    </w:p>
    <w:tbl>
      <w:tblPr>
        <w:tblW w:w="89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47"/>
        <w:gridCol w:w="2481"/>
        <w:gridCol w:w="2118"/>
        <w:gridCol w:w="2118"/>
        <w:gridCol w:w="1392"/>
      </w:tblGrid>
      <w:tr>
        <w:trPr>
          <w:tblHeader w:val="true"/>
          <w:cantSplit w:val="true"/>
        </w:trPr>
        <w:tc>
          <w:tcPr>
            <w:tcW w:w="84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地区</w:t>
            </w:r>
          </w:p>
        </w:tc>
        <w:tc>
          <w:tcPr>
            <w:tcW w:w="248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模型</w:t>
            </w:r>
          </w:p>
        </w:tc>
        <w:tc>
          <w:tcPr>
            <w:tcW w:w="2118"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MAE↓</w:t>
            </w:r>
          </w:p>
        </w:tc>
        <w:tc>
          <w:tcPr>
            <w:tcW w:w="2118"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QS↓</w:t>
            </w:r>
          </w:p>
        </w:tc>
        <w:tc>
          <w:tcPr>
            <w:tcW w:w="1392"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90%</w:t>
            </w:r>
            <w:r>
              <w:rPr>
                <w:rFonts w:ascii="Times New Roman" w:hAnsi="Times New Roman"/>
                <w:b/>
                <w:color w:val="000000"/>
                <w:sz w:val="18"/>
              </w:rPr>
              <w:t>覆盖率</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NSW1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LightGBM</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44.333 ± 0.027</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31.318 ± 0.053</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83.56%</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NSW1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XGBoost</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45.209 ± 0.076</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32.918 ± 0.035</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83.33%</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NSW1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Full_joint</w:t>
            </w:r>
            <w:r>
              <w:rPr>
                <w:rFonts w:ascii="Times New Roman" w:hAnsi="Times New Roman"/>
                <w:b w:val="false"/>
                <w:color w:val="000000"/>
                <w:sz w:val="18"/>
              </w:rPr>
              <w:t>（当前方法）</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44.036 ± 0.213</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30.854 ± 0.341</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84.41%</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QLD1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LightGBM</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38.213 ± 0.022</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24.919 ± 0.032</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90.98%</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QLD1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XGBoost</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39.475 ± 0.097</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27.126 ± 0.018</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91.32%</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QLD1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Full_joint</w:t>
            </w:r>
            <w:r>
              <w:rPr>
                <w:rFonts w:ascii="Times New Roman" w:hAnsi="Times New Roman"/>
                <w:b w:val="false"/>
                <w:color w:val="000000"/>
                <w:sz w:val="18"/>
              </w:rPr>
              <w:t>（当前方法）</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40.746 ± 1.461</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25.956 ± 0.709</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83.40%</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TAS1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LightGBM</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28.758 ± 0.049</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16.338 ± 0.013</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80.78%</w:t>
            </w:r>
          </w:p>
        </w:tc>
      </w:tr>
      <w:tr>
        <w:trPr>
          <w:cantSplit w:val="true"/>
        </w:trPr>
        <w:tc>
          <w:tcPr>
            <w:tcW w:w="847" w:type="dxa"/>
            <w:tcBorders/>
            <w:vAlign w:val="center"/>
          </w:tcPr>
          <w:p>
            <w:pPr>
              <w:pStyle w:val="Normal"/>
              <w:keepNext w:val="true"/>
              <w:widowControl w:val="false"/>
              <w:spacing w:lineRule="auto" w:line="264" w:before="40" w:after="40"/>
              <w:ind w:hanging="0"/>
              <w:rPr/>
            </w:pPr>
            <w:r>
              <w:rPr>
                <w:b w:val="false"/>
                <w:color w:val="000000"/>
                <w:sz w:val="18"/>
              </w:rPr>
              <w:t>TAS1</w:t>
            </w:r>
          </w:p>
        </w:tc>
        <w:tc>
          <w:tcPr>
            <w:tcW w:w="2481" w:type="dxa"/>
            <w:tcBorders/>
            <w:vAlign w:val="center"/>
          </w:tcPr>
          <w:p>
            <w:pPr>
              <w:pStyle w:val="Normal"/>
              <w:keepNext w:val="true"/>
              <w:widowControl w:val="false"/>
              <w:spacing w:lineRule="auto" w:line="264" w:before="40" w:after="40"/>
              <w:ind w:hanging="0"/>
              <w:rPr/>
            </w:pPr>
            <w:r>
              <w:rPr>
                <w:b w:val="false"/>
                <w:color w:val="000000"/>
                <w:sz w:val="18"/>
              </w:rPr>
              <w:t>XGBoost</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29.107 ± 0.057</w:t>
            </w:r>
          </w:p>
        </w:tc>
        <w:tc>
          <w:tcPr>
            <w:tcW w:w="2118" w:type="dxa"/>
            <w:tcBorders/>
            <w:vAlign w:val="center"/>
          </w:tcPr>
          <w:p>
            <w:pPr>
              <w:pStyle w:val="Normal"/>
              <w:keepNext w:val="true"/>
              <w:widowControl w:val="false"/>
              <w:spacing w:lineRule="auto" w:line="264" w:before="40" w:after="40"/>
              <w:ind w:hanging="0"/>
              <w:rPr/>
            </w:pPr>
            <w:r>
              <w:rPr>
                <w:b w:val="false"/>
                <w:color w:val="000000"/>
                <w:sz w:val="18"/>
              </w:rPr>
              <w:t>16.823 ± 0.029</w:t>
            </w:r>
          </w:p>
        </w:tc>
        <w:tc>
          <w:tcPr>
            <w:tcW w:w="1392" w:type="dxa"/>
            <w:tcBorders/>
            <w:vAlign w:val="center"/>
          </w:tcPr>
          <w:p>
            <w:pPr>
              <w:pStyle w:val="Normal"/>
              <w:keepNext w:val="true"/>
              <w:widowControl w:val="false"/>
              <w:spacing w:lineRule="auto" w:line="264" w:before="40" w:after="40"/>
              <w:ind w:hanging="0"/>
              <w:rPr/>
            </w:pPr>
            <w:r>
              <w:rPr>
                <w:b w:val="false"/>
                <w:color w:val="000000"/>
                <w:sz w:val="18"/>
              </w:rPr>
              <w:t>80.39%</w:t>
            </w:r>
          </w:p>
        </w:tc>
      </w:tr>
      <w:tr>
        <w:trPr>
          <w:cantSplit w:val="true"/>
        </w:trPr>
        <w:tc>
          <w:tcPr>
            <w:tcW w:w="84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TAS1</w:t>
            </w:r>
          </w:p>
        </w:tc>
        <w:tc>
          <w:tcPr>
            <w:tcW w:w="248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Full_joint</w:t>
            </w:r>
            <w:r>
              <w:rPr>
                <w:rFonts w:ascii="Times New Roman" w:hAnsi="Times New Roman"/>
                <w:b w:val="false"/>
                <w:color w:val="000000"/>
                <w:sz w:val="18"/>
              </w:rPr>
              <w:t>（当前方法）</w:t>
            </w:r>
          </w:p>
        </w:tc>
        <w:tc>
          <w:tcPr>
            <w:tcW w:w="211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28.567 ± 0.104</w:t>
            </w:r>
          </w:p>
        </w:tc>
        <w:tc>
          <w:tcPr>
            <w:tcW w:w="211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16.367 ± 0.088</w:t>
            </w:r>
          </w:p>
        </w:tc>
        <w:tc>
          <w:tcPr>
            <w:tcW w:w="1392"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80.29%</w:t>
            </w:r>
          </w:p>
        </w:tc>
      </w:tr>
    </w:tbl>
    <w:p>
      <w:pPr>
        <w:pStyle w:val="Normal"/>
        <w:spacing w:before="0" w:after="0"/>
        <w:rPr/>
      </w:pPr>
      <w:r>
        <w:rPr/>
      </w:r>
    </w:p>
    <w:p>
      <w:pPr>
        <w:pStyle w:val="Normal"/>
        <w:keepNext w:val="true"/>
        <w:spacing w:lineRule="auto" w:line="240"/>
        <w:ind w:hanging="0"/>
        <w:jc w:val="center"/>
        <w:rPr/>
      </w:pPr>
      <w:r>
        <w:rPr/>
        <w:drawing>
          <wp:inline distT="0" distB="0" distL="0" distR="0">
            <wp:extent cx="5579745" cy="20643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9"/>
                    <a:stretch>
                      <a:fillRect/>
                    </a:stretch>
                  </pic:blipFill>
                  <pic:spPr bwMode="auto">
                    <a:xfrm>
                      <a:off x="0" y="0"/>
                      <a:ext cx="5579745" cy="2064385"/>
                    </a:xfrm>
                    <a:prstGeom prst="rect">
                      <a:avLst/>
                    </a:prstGeom>
                  </pic:spPr>
                </pic:pic>
              </a:graphicData>
            </a:graphic>
          </wp:inline>
        </w:drawing>
      </w:r>
    </w:p>
    <w:p>
      <w:pPr>
        <w:pStyle w:val="Caption1"/>
        <w:rPr/>
      </w:pPr>
      <w:r>
        <w:rPr/>
        <w:t>图</w:t>
      </w:r>
      <w:r>
        <w:rPr/>
        <w:t xml:space="preserve">5-2  </w:t>
      </w:r>
      <w:r>
        <w:rPr/>
        <w:t>不同地区的</w:t>
      </w:r>
      <w:r>
        <w:rPr/>
        <w:t>MAE</w:t>
      </w:r>
      <w:r>
        <w:rPr/>
        <w:t>与</w:t>
      </w:r>
      <w:r>
        <w:rPr/>
        <w:t>QS</w:t>
      </w:r>
      <w:r>
        <w:rPr/>
        <w:t>对比</w:t>
      </w:r>
    </w:p>
    <w:p>
      <w:pPr>
        <w:pStyle w:val="Normal"/>
        <w:jc w:val="both"/>
        <w:rPr/>
      </w:pPr>
      <w:r>
        <w:rPr/>
        <w:t>在</w:t>
      </w:r>
      <w:r>
        <w:rPr/>
        <w:t>NSW1</w:t>
      </w:r>
      <w:r>
        <w:rPr/>
        <w:t>，联合方法将</w:t>
      </w:r>
      <w:r>
        <w:rPr/>
        <w:t>MAE</w:t>
      </w:r>
      <w:r>
        <w:rPr/>
        <w:t>由</w:t>
      </w:r>
      <w:r>
        <w:rPr/>
        <w:t>44.333</w:t>
      </w:r>
      <w:r>
        <w:rPr/>
        <w:t>降至</w:t>
      </w:r>
      <w:r>
        <w:rPr/>
        <w:t>44.036</w:t>
      </w:r>
      <w:r>
        <w:rPr/>
        <w:t>，</w:t>
      </w:r>
      <w:r>
        <w:rPr/>
        <w:t>QS</w:t>
      </w:r>
      <w:r>
        <w:rPr/>
        <w:t>由</w:t>
      </w:r>
      <w:r>
        <w:rPr/>
        <w:t>31.318</w:t>
      </w:r>
      <w:r>
        <w:rPr/>
        <w:t>降至</w:t>
      </w:r>
      <w:r>
        <w:rPr/>
        <w:t>30.854</w:t>
      </w:r>
      <w:r>
        <w:rPr/>
        <w:t>，两个指标均改善。在</w:t>
      </w:r>
      <w:r>
        <w:rPr/>
        <w:t>QLD1</w:t>
      </w:r>
      <w:r>
        <w:rPr/>
        <w:t>，</w:t>
      </w:r>
      <w:r>
        <w:rPr/>
        <w:t>MAE</w:t>
      </w:r>
      <w:r>
        <w:rPr/>
        <w:t>由</w:t>
      </w:r>
      <w:r>
        <w:rPr/>
        <w:t>38.213</w:t>
      </w:r>
      <w:r>
        <w:rPr/>
        <w:t>升至</w:t>
      </w:r>
      <w:r>
        <w:rPr/>
        <w:t>40.746</w:t>
      </w:r>
      <w:r>
        <w:rPr/>
        <w:t>，</w:t>
      </w:r>
      <w:r>
        <w:rPr/>
        <w:t>QS</w:t>
      </w:r>
      <w:r>
        <w:rPr/>
        <w:t>由</w:t>
      </w:r>
      <w:r>
        <w:rPr/>
        <w:t>24.919</w:t>
      </w:r>
      <w:r>
        <w:rPr/>
        <w:t>升至</w:t>
      </w:r>
      <w:r>
        <w:rPr/>
        <w:t>25.956</w:t>
      </w:r>
      <w:r>
        <w:rPr/>
        <w:t>，成为总体退化的主要来源。</w:t>
      </w:r>
      <w:r>
        <w:rPr/>
        <w:t>TAS1</w:t>
      </w:r>
      <w:r>
        <w:rPr/>
        <w:t>的</w:t>
      </w:r>
      <w:r>
        <w:rPr/>
        <w:t>MAE</w:t>
      </w:r>
      <w:r>
        <w:rPr/>
        <w:t>小幅降低而</w:t>
      </w:r>
      <w:r>
        <w:rPr/>
        <w:t>QS</w:t>
      </w:r>
      <w:r>
        <w:rPr/>
        <w:t>略有增加。</w:t>
      </w:r>
      <w:r>
        <w:rPr/>
        <w:t>QLD1</w:t>
      </w:r>
      <w:r>
        <w:rPr/>
        <w:t>的</w:t>
      </w:r>
      <w:r>
        <w:rPr/>
        <w:t>MAE</w:t>
      </w:r>
      <w:r>
        <w:rPr/>
        <w:t>种子标准差为</w:t>
      </w:r>
      <w:r>
        <w:rPr/>
        <w:t>1.461</w:t>
      </w:r>
      <w:r>
        <w:rPr/>
        <w:t>，也显示出较强的训练波动。</w:t>
      </w:r>
    </w:p>
    <w:p>
      <w:pPr>
        <w:pStyle w:val="Heading2"/>
        <w:rPr/>
      </w:pPr>
      <w:bookmarkStart w:id="30" w:name="__RefHeading___Toc4067_610684220"/>
      <w:bookmarkEnd w:id="30"/>
      <w:r>
        <w:rPr/>
        <w:t xml:space="preserve">5.3 </w:t>
      </w:r>
      <w:r>
        <w:rPr/>
        <w:t>概率区间的覆盖与宽度</w:t>
      </w:r>
    </w:p>
    <w:p>
      <w:pPr>
        <w:pStyle w:val="Normal"/>
        <w:keepNext w:val="true"/>
        <w:spacing w:lineRule="auto" w:line="240"/>
        <w:ind w:hanging="0"/>
        <w:jc w:val="center"/>
        <w:rPr/>
      </w:pPr>
      <w:r>
        <w:rPr/>
        <w:drawing>
          <wp:inline distT="0" distB="0" distL="0" distR="0">
            <wp:extent cx="5579745" cy="235585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0"/>
                    <a:stretch>
                      <a:fillRect/>
                    </a:stretch>
                  </pic:blipFill>
                  <pic:spPr bwMode="auto">
                    <a:xfrm>
                      <a:off x="0" y="0"/>
                      <a:ext cx="5579745" cy="2355850"/>
                    </a:xfrm>
                    <a:prstGeom prst="rect">
                      <a:avLst/>
                    </a:prstGeom>
                  </pic:spPr>
                </pic:pic>
              </a:graphicData>
            </a:graphic>
          </wp:inline>
        </w:drawing>
      </w:r>
    </w:p>
    <w:p>
      <w:pPr>
        <w:pStyle w:val="Caption1"/>
        <w:rPr/>
      </w:pPr>
      <w:r>
        <w:rPr/>
        <w:t>图</w:t>
      </w:r>
      <w:r>
        <w:rPr/>
        <w:t xml:space="preserve">5-3  </w:t>
      </w:r>
      <w:r>
        <w:rPr/>
        <w:t>预测区间覆盖率与名义水平的比较</w:t>
      </w:r>
    </w:p>
    <w:p>
      <w:pPr>
        <w:pStyle w:val="Normal"/>
        <w:jc w:val="both"/>
        <w:rPr/>
      </w:pPr>
      <w:r>
        <w:rPr/>
        <w:t>联合方法的</w:t>
      </w:r>
      <w:r>
        <w:rPr/>
        <w:t>80%</w:t>
      </w:r>
      <w:r>
        <w:rPr/>
        <w:t>和</w:t>
      </w:r>
      <w:r>
        <w:rPr/>
        <w:t>90%</w:t>
      </w:r>
      <w:r>
        <w:rPr/>
        <w:t>区间覆盖率分别为</w:t>
      </w:r>
      <w:r>
        <w:rPr/>
        <w:t>68.56%</w:t>
      </w:r>
      <w:r>
        <w:rPr/>
        <w:t>和</w:t>
      </w:r>
      <w:r>
        <w:rPr/>
        <w:t>82.70%</w:t>
      </w:r>
      <w:r>
        <w:rPr/>
        <w:t>，低于</w:t>
      </w:r>
      <w:r>
        <w:rPr/>
        <w:t>LightGBM</w:t>
      </w:r>
      <w:r>
        <w:rPr/>
        <w:t>的</w:t>
      </w:r>
      <w:r>
        <w:rPr/>
        <w:t>72.50%</w:t>
      </w:r>
      <w:r>
        <w:rPr/>
        <w:t>和</w:t>
      </w:r>
      <w:r>
        <w:rPr/>
        <w:t>85.10%</w:t>
      </w:r>
      <w:r>
        <w:rPr/>
        <w:t>；平均</w:t>
      </w:r>
      <w:r>
        <w:rPr/>
        <w:t>90%</w:t>
      </w:r>
      <w:r>
        <w:rPr/>
        <w:t>区间宽度由</w:t>
      </w:r>
      <w:r>
        <w:rPr/>
        <w:t>141.35</w:t>
      </w:r>
      <w:r>
        <w:rPr/>
        <w:t>缩至</w:t>
      </w:r>
      <w:r>
        <w:rPr/>
        <w:t>118.08</w:t>
      </w:r>
      <w:r>
        <w:rPr/>
        <w:t>。区间变窄未伴随更可靠的覆盖，表明位置校正与尺度控制仍存在失配。</w:t>
      </w:r>
      <w:r>
        <w:rPr/>
        <w:t>QLD1</w:t>
      </w:r>
      <w:r>
        <w:rPr/>
        <w:t>的</w:t>
      </w:r>
      <w:r>
        <w:rPr/>
        <w:t>80%</w:t>
      </w:r>
      <w:r>
        <w:rPr/>
        <w:t>覆盖率从</w:t>
      </w:r>
      <w:r>
        <w:rPr/>
        <w:t>78.08%</w:t>
      </w:r>
      <w:r>
        <w:rPr/>
        <w:t>降至</w:t>
      </w:r>
      <w:r>
        <w:rPr/>
        <w:t>66.73%</w:t>
      </w:r>
      <w:r>
        <w:rPr/>
        <w:t>，是最明显的地区性问题。</w:t>
      </w:r>
    </w:p>
    <w:p>
      <w:pPr>
        <w:pStyle w:val="Normal"/>
        <w:jc w:val="both"/>
        <w:rPr/>
      </w:pPr>
      <w:r>
        <w:rPr/>
        <w:t>CP</w:t>
      </w:r>
      <w:r>
        <w:rPr/>
        <w:t>扩大了区间并提高覆盖率，但其</w:t>
      </w:r>
      <w:r>
        <w:rPr/>
        <w:t>QS</w:t>
      </w:r>
      <w:r>
        <w:rPr/>
        <w:t>较基础树更差，说明覆盖偏高不等同于概率预测更准确。对联合方法同样需要同时审查区间宽度、覆盖与分位损失，避免将某一单项指标的改善解释为整体分布质量提升。</w:t>
      </w:r>
    </w:p>
    <w:p>
      <w:pPr>
        <w:pStyle w:val="Heading2"/>
        <w:rPr/>
      </w:pPr>
      <w:bookmarkStart w:id="31" w:name="__RefHeading___Toc4069_610684220"/>
      <w:bookmarkEnd w:id="31"/>
      <w:r>
        <w:rPr/>
        <w:t xml:space="preserve">5.4 </w:t>
      </w:r>
      <w:r>
        <w:rPr/>
        <w:t>组件关闭干预分析</w:t>
      </w:r>
    </w:p>
    <w:p>
      <w:pPr>
        <w:pStyle w:val="Normal"/>
        <w:jc w:val="both"/>
        <w:rPr/>
      </w:pPr>
      <w:r>
        <w:rPr/>
        <w:t>相对同一检查点的</w:t>
      </w:r>
      <w:r>
        <w:rPr/>
        <w:t>Anchor</w:t>
      </w:r>
      <w:r>
        <w:rPr/>
        <w:t>输出，完整历史分支将</w:t>
      </w:r>
      <w:r>
        <w:rPr/>
        <w:t>MAE</w:t>
      </w:r>
      <w:r>
        <w:rPr/>
        <w:t>从</w:t>
      </w:r>
      <w:r>
        <w:rPr/>
        <w:t>37.908</w:t>
      </w:r>
      <w:r>
        <w:rPr/>
        <w:t>降至</w:t>
      </w:r>
      <w:r>
        <w:rPr/>
        <w:t>37.783</w:t>
      </w:r>
      <w:r>
        <w:rPr/>
        <w:t>、</w:t>
      </w:r>
      <w:r>
        <w:rPr/>
        <w:t>QS</w:t>
      </w:r>
      <w:r>
        <w:rPr/>
        <w:t>从</w:t>
      </w:r>
      <w:r>
        <w:rPr/>
        <w:t>24.467</w:t>
      </w:r>
      <w:r>
        <w:rPr/>
        <w:t>降至</w:t>
      </w:r>
      <w:r>
        <w:rPr/>
        <w:t>24.392</w:t>
      </w:r>
      <w:r>
        <w:rPr/>
        <w:t>，表现出一定补偿能力。然而，关闭事件项后的</w:t>
      </w:r>
      <w:r>
        <w:rPr/>
        <w:t>MAE</w:t>
      </w:r>
      <w:r>
        <w:rPr/>
        <w:t>为</w:t>
      </w:r>
      <w:r>
        <w:rPr/>
        <w:t>37.754</w:t>
      </w:r>
      <w:r>
        <w:rPr/>
        <w:t>，低于完整模型；关闭时间移动后的</w:t>
      </w:r>
      <w:r>
        <w:rPr/>
        <w:t>QS</w:t>
      </w:r>
      <w:r>
        <w:rPr/>
        <w:t>为</w:t>
      </w:r>
      <w:r>
        <w:rPr/>
        <w:t>24.384</w:t>
      </w:r>
      <w:r>
        <w:rPr/>
        <w:t>，也略低于完整模型的</w:t>
      </w:r>
      <w:r>
        <w:rPr/>
        <w:t>24.392</w:t>
      </w:r>
      <w:r>
        <w:rPr/>
        <w:t>。</w:t>
      </w:r>
    </w:p>
    <w:p>
      <w:pPr>
        <w:pStyle w:val="Normal"/>
        <w:jc w:val="both"/>
        <w:rPr/>
      </w:pPr>
      <w:r>
        <w:rPr/>
        <w:t>上述实验属于固定参数下的关闭干预，并非独立重训消融，因此尚不足以确定某个模块在重新优化后是否无效。但这些结果已表明，当前配置下没有形成事件分支与时间移动的稳定总体净收益。进一步验证需要控制状态编码、损失和训练预算，重新训练无历史、仅趋势及事件无移动等对照。</w:t>
      </w:r>
    </w:p>
    <w:p>
      <w:pPr>
        <w:pStyle w:val="Heading2"/>
        <w:rPr/>
      </w:pPr>
      <w:bookmarkStart w:id="32" w:name="__RefHeading___Toc4071_610684220"/>
      <w:bookmarkEnd w:id="32"/>
      <w:r>
        <w:rPr/>
        <w:t xml:space="preserve">5.5 </w:t>
      </w:r>
      <w:r>
        <w:rPr/>
        <w:t>电价尖峰与常态误差分析</w:t>
      </w:r>
    </w:p>
    <w:p>
      <w:pPr>
        <w:pStyle w:val="Normal"/>
        <w:jc w:val="both"/>
        <w:rPr/>
      </w:pPr>
      <w:r>
        <w:rPr/>
        <w:t>为分析总体误差背后的状态差异，进一步对全部</w:t>
      </w:r>
      <w:r>
        <w:rPr/>
        <w:t>225</w:t>
      </w:r>
      <w:r>
        <w:rPr/>
        <w:t>份冻结预测进行价格分层评分。预测来源哈希、标签和起点均保持一致，逐格总体</w:t>
      </w:r>
      <w:r>
        <w:rPr/>
        <w:t>MAE</w:t>
      </w:r>
      <w:r>
        <w:rPr/>
        <w:t>复算误差小于</w:t>
      </w:r>
      <w:r>
        <w:rPr/>
        <w:t>10⁻⁸</w:t>
      </w:r>
      <w:r>
        <w:rPr/>
        <w:t>。表</w:t>
      </w:r>
      <w:r>
        <w:rPr/>
        <w:t>5-3</w:t>
      </w:r>
      <w:r>
        <w:rPr/>
        <w:t>与表</w:t>
      </w:r>
      <w:r>
        <w:rPr/>
        <w:t>5-4</w:t>
      </w:r>
      <w:r>
        <w:rPr/>
        <w:t>采用按地区等权后对</w:t>
      </w:r>
      <w:r>
        <w:rPr/>
        <w:t>seed</w:t>
      </w:r>
      <w:r>
        <w:rPr/>
        <w:t>平均的结果，极端价格组是高价组的子集。</w:t>
      </w:r>
    </w:p>
    <w:p>
      <w:pPr>
        <w:pStyle w:val="Caption1"/>
        <w:keepNext w:val="true"/>
        <w:rPr/>
      </w:pPr>
      <w:r>
        <w:rPr/>
        <w:t>表</w:t>
      </w:r>
      <w:r>
        <w:rPr/>
        <w:t xml:space="preserve">5-3  </w:t>
      </w:r>
      <w:r>
        <w:rPr/>
        <w:t>价格分层</w:t>
      </w:r>
      <w:r>
        <w:rPr/>
        <w:t>MAE</w:t>
      </w:r>
      <w:r>
        <w:rPr/>
        <w:t>比较</w:t>
      </w:r>
    </w:p>
    <w:tbl>
      <w:tblPr>
        <w:tblW w:w="89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1587"/>
        <w:gridCol w:w="1587"/>
        <w:gridCol w:w="1587"/>
        <w:gridCol w:w="1588"/>
      </w:tblGrid>
      <w:tr>
        <w:trPr>
          <w:tblHeader w:val="true"/>
          <w:cantSplit w:val="true"/>
        </w:trPr>
        <w:tc>
          <w:tcPr>
            <w:tcW w:w="260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模型</w:t>
            </w:r>
            <w:r>
              <w:rPr>
                <w:b/>
                <w:color w:val="000000"/>
                <w:sz w:val="18"/>
              </w:rPr>
              <w:t>/</w:t>
            </w:r>
            <w:r>
              <w:rPr>
                <w:rFonts w:ascii="Times New Roman" w:hAnsi="Times New Roman"/>
                <w:b/>
                <w:color w:val="000000"/>
                <w:sz w:val="18"/>
              </w:rPr>
              <w:t>输出</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负价 </w:t>
            </w:r>
            <w:r>
              <w:rPr>
                <w:b/>
                <w:color w:val="000000"/>
                <w:sz w:val="18"/>
              </w:rPr>
              <w:t>&lt;0</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常态 </w:t>
            </w:r>
            <w:r>
              <w:rPr>
                <w:b/>
                <w:color w:val="000000"/>
                <w:sz w:val="18"/>
              </w:rPr>
              <w:t>0–300</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高价 </w:t>
            </w:r>
            <w:r>
              <w:rPr>
                <w:b/>
                <w:color w:val="000000"/>
                <w:sz w:val="18"/>
              </w:rPr>
              <w:t>&gt;300</w:t>
            </w:r>
          </w:p>
        </w:tc>
        <w:tc>
          <w:tcPr>
            <w:tcW w:w="1588"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极端 </w:t>
            </w:r>
            <w:r>
              <w:rPr>
                <w:b/>
                <w:color w:val="000000"/>
                <w:sz w:val="18"/>
              </w:rPr>
              <w:t>&gt;1000</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LightGBM</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30.618</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22.822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988.399</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3472.494</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XGBoost</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35.720</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23.141</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993.813</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3478.080</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LightGBM+QRA</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34.674</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28.652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914.969</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3323.448</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PatchTST</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35.529</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31.164</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961.069</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3378.854</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DLinear</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40.799</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33.192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956.839</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3299.757</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B_retrained</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30.697</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22.815</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988.583</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3473.076</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Anchor_joint</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29.002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23.969</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970.668</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3453.017</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Full_joint</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28.540</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23.948</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967.603</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3444.268</w:t>
            </w:r>
          </w:p>
        </w:tc>
      </w:tr>
      <w:tr>
        <w:trPr>
          <w:cantSplit w:val="true"/>
        </w:trPr>
        <w:tc>
          <w:tcPr>
            <w:tcW w:w="2607"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关闭事件项</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28.542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23.857</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970.853</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3453.244</w:t>
            </w:r>
          </w:p>
        </w:tc>
      </w:tr>
      <w:tr>
        <w:trPr>
          <w:cantSplit w:val="true"/>
        </w:trPr>
        <w:tc>
          <w:tcPr>
            <w:tcW w:w="2607"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18"/>
              </w:rPr>
              <w:t>关闭时间移动</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28.550</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23.971</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966.239</w:t>
            </w:r>
          </w:p>
        </w:tc>
        <w:tc>
          <w:tcPr>
            <w:tcW w:w="158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3440.345</w:t>
            </w:r>
          </w:p>
        </w:tc>
      </w:tr>
    </w:tbl>
    <w:p>
      <w:pPr>
        <w:pStyle w:val="Normal"/>
        <w:spacing w:before="0" w:after="0"/>
        <w:rPr/>
      </w:pPr>
      <w:r>
        <w:rPr/>
      </w:r>
    </w:p>
    <w:p>
      <w:pPr>
        <w:pStyle w:val="Caption1"/>
        <w:keepNext w:val="true"/>
        <w:rPr/>
      </w:pPr>
      <w:r>
        <w:rPr/>
        <w:t>表</w:t>
      </w:r>
      <w:r>
        <w:rPr/>
        <w:t xml:space="preserve">5-4  </w:t>
      </w:r>
      <w:r>
        <w:rPr/>
        <w:t>价格分层</w:t>
      </w:r>
      <w:r>
        <w:rPr/>
        <w:t>QS</w:t>
      </w:r>
      <w:r>
        <w:rPr/>
        <w:t>比较</w:t>
      </w:r>
    </w:p>
    <w:tbl>
      <w:tblPr>
        <w:tblW w:w="89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1587"/>
        <w:gridCol w:w="1587"/>
        <w:gridCol w:w="1587"/>
        <w:gridCol w:w="1588"/>
      </w:tblGrid>
      <w:tr>
        <w:trPr>
          <w:tblHeader w:val="true"/>
          <w:cantSplit w:val="true"/>
        </w:trPr>
        <w:tc>
          <w:tcPr>
            <w:tcW w:w="260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模型</w:t>
            </w:r>
            <w:r>
              <w:rPr>
                <w:b/>
                <w:color w:val="000000"/>
                <w:sz w:val="18"/>
              </w:rPr>
              <w:t>/</w:t>
            </w:r>
            <w:r>
              <w:rPr>
                <w:rFonts w:ascii="Times New Roman" w:hAnsi="Times New Roman"/>
                <w:b/>
                <w:color w:val="000000"/>
                <w:sz w:val="18"/>
              </w:rPr>
              <w:t>输出</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负价 </w:t>
            </w:r>
            <w:r>
              <w:rPr>
                <w:b/>
                <w:color w:val="000000"/>
                <w:sz w:val="18"/>
              </w:rPr>
              <w:t>&lt;0</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常态 </w:t>
            </w:r>
            <w:r>
              <w:rPr>
                <w:b/>
                <w:color w:val="000000"/>
                <w:sz w:val="18"/>
              </w:rPr>
              <w:t>0–300</w:t>
            </w:r>
          </w:p>
        </w:tc>
        <w:tc>
          <w:tcPr>
            <w:tcW w:w="158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高价 </w:t>
            </w:r>
            <w:r>
              <w:rPr>
                <w:b/>
                <w:color w:val="000000"/>
                <w:sz w:val="18"/>
              </w:rPr>
              <w:t>&gt;300</w:t>
            </w:r>
          </w:p>
        </w:tc>
        <w:tc>
          <w:tcPr>
            <w:tcW w:w="1588"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极端 </w:t>
            </w:r>
            <w:r>
              <w:rPr>
                <w:b/>
                <w:color w:val="000000"/>
                <w:sz w:val="18"/>
              </w:rPr>
              <w:t>&gt;1000</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LightGBM</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18.534</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12.872</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808.368</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2983.550</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LightGBM+QRA</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18.144</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15.576</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829.416</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3142.094</w:t>
            </w:r>
          </w:p>
        </w:tc>
      </w:tr>
      <w:tr>
        <w:trPr>
          <w:cantSplit w:val="true"/>
        </w:trPr>
        <w:tc>
          <w:tcPr>
            <w:tcW w:w="2607" w:type="dxa"/>
            <w:tcBorders/>
            <w:vAlign w:val="center"/>
          </w:tcPr>
          <w:p>
            <w:pPr>
              <w:pStyle w:val="Normal"/>
              <w:keepNext w:val="true"/>
              <w:widowControl w:val="false"/>
              <w:spacing w:lineRule="auto" w:line="264" w:before="40" w:after="40"/>
              <w:ind w:hanging="0"/>
              <w:rPr/>
            </w:pPr>
            <w:r>
              <w:rPr>
                <w:b w:val="false"/>
                <w:color w:val="000000"/>
                <w:sz w:val="18"/>
              </w:rPr>
              <w:t>PatchTST</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20.091</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16.058</w:t>
            </w:r>
          </w:p>
        </w:tc>
        <w:tc>
          <w:tcPr>
            <w:tcW w:w="1587" w:type="dxa"/>
            <w:tcBorders/>
            <w:vAlign w:val="center"/>
          </w:tcPr>
          <w:p>
            <w:pPr>
              <w:pStyle w:val="Normal"/>
              <w:keepNext w:val="true"/>
              <w:widowControl w:val="false"/>
              <w:spacing w:lineRule="auto" w:line="264" w:before="40" w:after="40"/>
              <w:ind w:hanging="0"/>
              <w:rPr/>
            </w:pPr>
            <w:r>
              <w:rPr>
                <w:b w:val="false"/>
                <w:color w:val="000000"/>
                <w:sz w:val="18"/>
              </w:rPr>
              <w:t>813.418</w:t>
            </w:r>
          </w:p>
        </w:tc>
        <w:tc>
          <w:tcPr>
            <w:tcW w:w="1588" w:type="dxa"/>
            <w:tcBorders/>
            <w:vAlign w:val="center"/>
          </w:tcPr>
          <w:p>
            <w:pPr>
              <w:pStyle w:val="Normal"/>
              <w:keepNext w:val="true"/>
              <w:widowControl w:val="false"/>
              <w:spacing w:lineRule="auto" w:line="264" w:before="40" w:after="40"/>
              <w:ind w:hanging="0"/>
              <w:rPr/>
            </w:pPr>
            <w:r>
              <w:rPr>
                <w:b w:val="false"/>
                <w:color w:val="000000"/>
                <w:sz w:val="18"/>
              </w:rPr>
              <w:t>3015.673</w:t>
            </w:r>
          </w:p>
        </w:tc>
      </w:tr>
      <w:tr>
        <w:trPr>
          <w:cantSplit w:val="true"/>
        </w:trPr>
        <w:tc>
          <w:tcPr>
            <w:tcW w:w="260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Full_joint</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16.117</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13.020</w:t>
            </w:r>
          </w:p>
        </w:tc>
        <w:tc>
          <w:tcPr>
            <w:tcW w:w="158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815.337</w:t>
            </w:r>
          </w:p>
        </w:tc>
        <w:tc>
          <w:tcPr>
            <w:tcW w:w="158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3034.190</w:t>
            </w:r>
          </w:p>
        </w:tc>
      </w:tr>
    </w:tbl>
    <w:p>
      <w:pPr>
        <w:pStyle w:val="Normal"/>
        <w:spacing w:before="0" w:after="0"/>
        <w:rPr/>
      </w:pPr>
      <w:r>
        <w:rPr/>
      </w:r>
    </w:p>
    <w:p>
      <w:pPr>
        <w:pStyle w:val="Normal"/>
        <w:jc w:val="both"/>
        <w:rPr/>
      </w:pPr>
      <w:r>
        <w:rPr/>
        <w:t>在高价</w:t>
      </w:r>
      <w:r>
        <w:rPr/>
        <w:t>y&gt;300</w:t>
      </w:r>
      <w:r>
        <w:rPr/>
        <w:t>单元上，联合方法的</w:t>
      </w:r>
      <w:r>
        <w:rPr/>
        <w:t>MAE</w:t>
      </w:r>
      <w:r>
        <w:rPr/>
        <w:t>从</w:t>
      </w:r>
      <w:r>
        <w:rPr/>
        <w:t>LightGBM</w:t>
      </w:r>
      <w:r>
        <w:rPr/>
        <w:t>的</w:t>
      </w:r>
      <w:r>
        <w:rPr/>
        <w:t>988.399</w:t>
      </w:r>
      <w:r>
        <w:rPr/>
        <w:t>降至</w:t>
      </w:r>
      <w:r>
        <w:rPr/>
        <w:t>967.603</w:t>
      </w:r>
      <w:r>
        <w:rPr/>
        <w:t>，改善</w:t>
      </w:r>
      <w:r>
        <w:rPr/>
        <w:t>2.10%</w:t>
      </w:r>
      <w:r>
        <w:rPr/>
        <w:t>；在极端</w:t>
      </w:r>
      <w:r>
        <w:rPr/>
        <w:t>y&gt;1000</w:t>
      </w:r>
      <w:r>
        <w:rPr/>
        <w:t>单元上，从</w:t>
      </w:r>
      <w:r>
        <w:rPr/>
        <w:t>3472.494</w:t>
      </w:r>
      <w:r>
        <w:rPr/>
        <w:t>降至</w:t>
      </w:r>
      <w:r>
        <w:rPr/>
        <w:t>3444.268</w:t>
      </w:r>
      <w:r>
        <w:rPr/>
        <w:t>，改善</w:t>
      </w:r>
      <w:r>
        <w:rPr/>
        <w:t>0.81%</w:t>
      </w:r>
      <w:r>
        <w:rPr/>
        <w:t>。但常态</w:t>
      </w:r>
      <w:r>
        <w:rPr/>
        <w:t>0—300</w:t>
      </w:r>
      <w:r>
        <w:rPr/>
        <w:t>区间的</w:t>
      </w:r>
      <w:r>
        <w:rPr/>
        <w:t>MAE</w:t>
      </w:r>
      <w:r>
        <w:rPr/>
        <w:t>从</w:t>
      </w:r>
      <w:r>
        <w:rPr/>
        <w:t>22.822</w:t>
      </w:r>
      <w:r>
        <w:rPr/>
        <w:t>升至</w:t>
      </w:r>
      <w:r>
        <w:rPr/>
        <w:t>23.948</w:t>
      </w:r>
      <w:r>
        <w:rPr/>
        <w:t>，退化</w:t>
      </w:r>
      <w:r>
        <w:rPr/>
        <w:t>4.93%</w:t>
      </w:r>
      <w:r>
        <w:rPr/>
        <w:t>。负价</w:t>
      </w:r>
      <w:r>
        <w:rPr/>
        <w:t>MAE</w:t>
      </w:r>
      <w:r>
        <w:rPr/>
        <w:t>在地区等权平均下改善</w:t>
      </w:r>
      <w:r>
        <w:rPr/>
        <w:t>6.79%</w:t>
      </w:r>
      <w:r>
        <w:rPr/>
        <w:t>，这一结果不意味着每个地区均改善，</w:t>
      </w:r>
      <w:r>
        <w:rPr/>
        <w:t>QLD1</w:t>
      </w:r>
      <w:r>
        <w:rPr/>
        <w:t>负价仍然退化。</w:t>
      </w:r>
    </w:p>
    <w:p>
      <w:pPr>
        <w:pStyle w:val="Normal"/>
        <w:keepNext w:val="true"/>
        <w:spacing w:lineRule="auto" w:line="240"/>
        <w:ind w:hanging="0"/>
        <w:jc w:val="center"/>
        <w:rPr/>
      </w:pPr>
      <w:r>
        <w:rPr/>
        <w:drawing>
          <wp:inline distT="0" distB="0" distL="0" distR="0">
            <wp:extent cx="5579745" cy="235585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21"/>
                    <a:stretch>
                      <a:fillRect/>
                    </a:stretch>
                  </pic:blipFill>
                  <pic:spPr bwMode="auto">
                    <a:xfrm>
                      <a:off x="0" y="0"/>
                      <a:ext cx="5579745" cy="2355850"/>
                    </a:xfrm>
                    <a:prstGeom prst="rect">
                      <a:avLst/>
                    </a:prstGeom>
                  </pic:spPr>
                </pic:pic>
              </a:graphicData>
            </a:graphic>
          </wp:inline>
        </w:drawing>
      </w:r>
    </w:p>
    <w:p>
      <w:pPr>
        <w:pStyle w:val="Caption1"/>
        <w:rPr/>
      </w:pPr>
      <w:r>
        <w:rPr/>
        <w:t>图</w:t>
      </w:r>
      <w:r>
        <w:rPr/>
        <w:t xml:space="preserve">5-4  </w:t>
      </w:r>
      <w:r>
        <w:rPr/>
        <w:t>联合方法相对</w:t>
      </w:r>
      <w:r>
        <w:rPr/>
        <w:t>LightGBM</w:t>
      </w:r>
      <w:r>
        <w:rPr/>
        <w:t>的价格分层</w:t>
      </w:r>
      <w:r>
        <w:rPr/>
        <w:t>MAE</w:t>
      </w:r>
      <w:r>
        <w:rPr/>
        <w:t>变化</w:t>
      </w:r>
    </w:p>
    <w:p>
      <w:pPr>
        <w:pStyle w:val="Normal"/>
        <w:jc w:val="both"/>
        <w:rPr/>
      </w:pPr>
      <w:r>
        <w:rPr/>
        <w:t>高价与极端区间的</w:t>
      </w:r>
      <w:r>
        <w:rPr/>
        <w:t>QS</w:t>
      </w:r>
      <w:r>
        <w:rPr/>
        <w:t>分别从</w:t>
      </w:r>
      <w:r>
        <w:rPr/>
        <w:t>808.368</w:t>
      </w:r>
      <w:r>
        <w:rPr/>
        <w:t>升至</w:t>
      </w:r>
      <w:r>
        <w:rPr/>
        <w:t>815.337</w:t>
      </w:r>
      <w:r>
        <w:rPr/>
        <w:t>、从</w:t>
      </w:r>
      <w:r>
        <w:rPr/>
        <w:t>2983.550</w:t>
      </w:r>
      <w:r>
        <w:rPr/>
        <w:t>升至</w:t>
      </w:r>
      <w:r>
        <w:rPr/>
        <w:t>3034.190</w:t>
      </w:r>
      <w:r>
        <w:rPr/>
        <w:t>，说明尖峰点误差收益尚未转化为上尾概率预测收益。这与共同平移分位数的结构限制相一致，但仍需通过独立结构对照验证其具体原因。</w:t>
      </w:r>
    </w:p>
    <w:p>
      <w:pPr>
        <w:pStyle w:val="Normal"/>
        <w:jc w:val="both"/>
        <w:rPr/>
      </w:pPr>
      <w:r>
        <w:rPr/>
        <w:t>联合方法也不是尖峰切片上的最佳模型。</w:t>
      </w:r>
      <w:r>
        <w:rPr/>
        <w:t>LightGBM+QRA</w:t>
      </w:r>
      <w:r>
        <w:rPr/>
        <w:t>在高价组、</w:t>
      </w:r>
      <w:r>
        <w:rPr/>
        <w:t>DLinear</w:t>
      </w:r>
      <w:r>
        <w:rPr/>
        <w:t>在极端组具有更低</w:t>
      </w:r>
      <w:r>
        <w:rPr/>
        <w:t>MAE</w:t>
      </w:r>
      <w:r>
        <w:rPr/>
        <w:t>，</w:t>
      </w:r>
      <w:r>
        <w:rPr/>
        <w:t>PatchTST</w:t>
      </w:r>
      <w:r>
        <w:rPr/>
        <w:t>两个尖峰切片均优于联合方法，但总体误差更大。尖峰样本量亦较有限：</w:t>
      </w:r>
      <w:r>
        <w:rPr/>
        <w:t>NSW1</w:t>
      </w:r>
      <w:r>
        <w:rPr/>
        <w:t>、</w:t>
      </w:r>
      <w:r>
        <w:rPr/>
        <w:t>QLD1</w:t>
      </w:r>
      <w:r>
        <w:rPr/>
        <w:t>和</w:t>
      </w:r>
      <w:r>
        <w:rPr/>
        <w:t>TAS1</w:t>
      </w:r>
      <w:r>
        <w:rPr/>
        <w:t>实际超过</w:t>
      </w:r>
      <w:r>
        <w:rPr/>
        <w:t>1000</w:t>
      </w:r>
      <w:r>
        <w:rPr/>
        <w:t>的唯一交付小时分别为</w:t>
      </w:r>
      <w:r>
        <w:rPr/>
        <w:t>85</w:t>
      </w:r>
      <w:r>
        <w:rPr/>
        <w:t>、</w:t>
      </w:r>
      <w:r>
        <w:rPr/>
        <w:t>81</w:t>
      </w:r>
      <w:r>
        <w:rPr/>
        <w:t>和</w:t>
      </w:r>
      <w:r>
        <w:rPr/>
        <w:t>18</w:t>
      </w:r>
      <w:r>
        <w:rPr/>
        <w:t>个。滚动窗口产生的重复评分单元不应作为独立事件，后续统计分析需考虑连续事件段与时间相关性。</w:t>
      </w:r>
    </w:p>
    <w:p>
      <w:pPr>
        <w:pStyle w:val="Heading2"/>
        <w:rPr/>
      </w:pPr>
      <w:bookmarkStart w:id="33" w:name="__RefHeading___Toc4073_610684220"/>
      <w:bookmarkEnd w:id="33"/>
      <w:r>
        <w:rPr/>
        <w:t xml:space="preserve">5.6 </w:t>
      </w:r>
      <w:r>
        <w:rPr/>
        <w:t>校正稳健性与状态约束实验</w:t>
      </w:r>
    </w:p>
    <w:p>
      <w:pPr>
        <w:pStyle w:val="Normal"/>
        <w:jc w:val="both"/>
        <w:rPr/>
      </w:pPr>
      <w:r>
        <w:rPr/>
        <w:t xml:space="preserve">四组 </w:t>
      </w:r>
      <w:r>
        <w:rPr/>
        <w:t xml:space="preserve">Anchor </w:t>
      </w:r>
      <w:r>
        <w:rPr/>
        <w:t xml:space="preserve">确认实验已经完成 </w:t>
      </w:r>
      <w:r>
        <w:rPr/>
        <w:t xml:space="preserve">72 </w:t>
      </w:r>
      <w:r>
        <w:rPr/>
        <w:t>次拟合：</w:t>
      </w:r>
      <w:r>
        <w:rPr/>
        <w:t>balanced</w:t>
      </w:r>
      <w:r>
        <w:rPr/>
        <w:t>、</w:t>
      </w:r>
      <w:r>
        <w:rPr/>
        <w:t>location_only</w:t>
      </w:r>
      <w:r>
        <w:rPr/>
        <w:t>、</w:t>
      </w:r>
      <w:r>
        <w:rPr/>
        <w:t>identity_anchor</w:t>
      </w:r>
      <w:r>
        <w:rPr/>
        <w:t>、</w:t>
      </w:r>
      <w:r>
        <w:rPr/>
        <w:t>asymmetric_scale</w:t>
      </w:r>
      <w:r>
        <w:rPr/>
        <w:t xml:space="preserve">，覆盖 </w:t>
      </w:r>
      <w:r>
        <w:rPr/>
        <w:t xml:space="preserve">2021/2022 </w:t>
      </w:r>
      <w:r>
        <w:rPr/>
        <w:t xml:space="preserve">开发折、三地区、三个神经 </w:t>
      </w:r>
      <w:r>
        <w:rPr/>
        <w:t>seed</w:t>
      </w:r>
      <w:r>
        <w:rPr/>
        <w:t xml:space="preserve">，每次 </w:t>
      </w:r>
      <w:r>
        <w:rPr/>
        <w:t xml:space="preserve">20 </w:t>
      </w:r>
      <w:r>
        <w:rPr/>
        <w:t>轮。四方案均未跨两年通过全部预设门槛。非对称头被作为最新结构报告，并不意味着它从这四组中获胜或已证明稳定成功。</w:t>
      </w:r>
    </w:p>
    <w:p>
      <w:pPr>
        <w:pStyle w:val="Normal"/>
        <w:jc w:val="both"/>
        <w:rPr/>
      </w:pPr>
      <w:r>
        <w:rPr/>
        <w:t xml:space="preserve">随后完成 </w:t>
      </w:r>
      <w:r>
        <w:rPr/>
        <w:t xml:space="preserve">36 </w:t>
      </w:r>
      <w:r>
        <w:rPr/>
        <w:t>次物理训练、</w:t>
      </w:r>
      <w:r>
        <w:rPr/>
        <w:t xml:space="preserve">54 </w:t>
      </w:r>
      <w:r>
        <w:rPr/>
        <w:t xml:space="preserve">个逻辑方案评估，分别检验跨季度选择和校正限幅。跨季度方案与 </w:t>
      </w:r>
      <w:r>
        <w:rPr/>
        <w:t xml:space="preserve">reference </w:t>
      </w:r>
      <w:r>
        <w:rPr/>
        <w:t xml:space="preserve">共用训练轨迹，仅改变 </w:t>
      </w:r>
      <w:r>
        <w:rPr/>
        <w:t xml:space="preserve">checkpoint/α </w:t>
      </w:r>
      <w:r>
        <w:rPr/>
        <w:t>选择，要求四季度各自通过守护；</w:t>
      </w:r>
      <w:r>
        <w:rPr/>
        <w:t xml:space="preserve">2022 </w:t>
      </w:r>
      <w:r>
        <w:rPr/>
        <w:t xml:space="preserve">出现 </w:t>
      </w:r>
      <w:r>
        <w:rPr/>
        <w:t xml:space="preserve">6/9 </w:t>
      </w:r>
      <w:r>
        <w:rPr/>
        <w:t xml:space="preserve">回退，丢失部分原有收益。限幅保留参数量、损失与原选择规则，只将位置收至 </w:t>
      </w:r>
      <w:r>
        <w:rPr/>
        <w:t>±30</w:t>
      </w:r>
      <w:r>
        <w:rPr/>
        <w:t xml:space="preserve">、上下尺度收至 </w:t>
      </w:r>
      <w:r>
        <w:rPr/>
        <w:t>[0.9,1.1]</w:t>
      </w:r>
      <w:r>
        <w:rPr/>
        <w:t xml:space="preserve">，并保留恒等点的局部梯度。限幅两年均通过三 </w:t>
      </w:r>
      <w:r>
        <w:rPr/>
        <w:t xml:space="preserve">seed </w:t>
      </w:r>
      <w:r>
        <w:rPr/>
        <w:t xml:space="preserve">均值门槛，但仍未通过所有 </w:t>
      </w:r>
      <w:r>
        <w:rPr/>
        <w:t xml:space="preserve">seed </w:t>
      </w:r>
      <w:r>
        <w:rPr/>
        <w:t>单独门槛，尚不足以认定稳定成功，也没有替换总体比较。</w:t>
      </w:r>
    </w:p>
    <w:p>
      <w:pPr>
        <w:pStyle w:val="Normal"/>
        <w:jc w:val="both"/>
        <w:rPr/>
      </w:pPr>
      <w:r>
        <w:rPr/>
        <w:t xml:space="preserve">最新“供需状态条件下的残差证据约束”已实现并完成无需重训诊断和真实数据短流程，完整 </w:t>
      </w:r>
      <w:r>
        <w:rPr/>
        <w:t xml:space="preserve">54 </w:t>
      </w:r>
      <w:r>
        <w:rPr/>
        <w:t>次确认尚未启动。状态仅由原输入的备用容量、净负荷、进口</w:t>
      </w:r>
      <w:r>
        <w:rPr/>
        <w:t>/</w:t>
      </w:r>
      <w:r>
        <w:rPr/>
        <w:t>出口余量及覆盖标记定义：供给紧张、紧张且进口受限、供给富余、富余且出口受限、普通、覆盖不足。它们是相对市场状态代理，不能等同于真实拥塞、边际机组身份或完整出清机理。</w:t>
      </w:r>
    </w:p>
    <w:p>
      <w:pPr>
        <w:pStyle w:val="Normal"/>
        <w:jc w:val="both"/>
        <w:rPr/>
      </w:pPr>
      <w:r>
        <w:rPr/>
        <w:t xml:space="preserve">训练期按日期划分四个连续块，分别计算位置残差方向与上下尾漏出证据，以跨块方向一致度 </w:t>
      </w:r>
      <w:r>
        <w:rPr/>
        <w:t xml:space="preserve">C </w:t>
      </w:r>
      <w:r>
        <w:rPr/>
        <w:t xml:space="preserve">和最低支持日期数形成门值 </w:t>
      </w:r>
      <w:r>
        <w:rPr/>
        <w:t>g=S×C</w:t>
      </w:r>
      <w:r>
        <w:rPr/>
        <w:t>，三个门分别限制位置、下尺度、上尺度。固定门对照与状态门在训练集平均门值相同，用于区分“统一缩小校正”和“按状态分配约束”。门值不是概率、效应大小或因果证据。</w:t>
      </w:r>
    </w:p>
    <w:p>
      <w:pPr>
        <w:pStyle w:val="Normal"/>
        <w:jc w:val="both"/>
        <w:rPr/>
      </w:pPr>
      <w:r>
        <w:rPr/>
        <w:t xml:space="preserve">第一阶段无需重训诊断并未一致支持假设：弱证据组的校正伤害在 </w:t>
      </w:r>
      <w:r>
        <w:rPr/>
        <w:t xml:space="preserve">raw </w:t>
      </w:r>
      <w:r>
        <w:rPr/>
        <w:t xml:space="preserve">的 </w:t>
      </w:r>
      <w:r>
        <w:rPr/>
        <w:t xml:space="preserve">6 </w:t>
      </w:r>
      <w:r>
        <w:rPr/>
        <w:t>个地区</w:t>
      </w:r>
      <w:r>
        <w:rPr/>
        <w:t>×</w:t>
      </w:r>
      <w:r>
        <w:rPr/>
        <w:t xml:space="preserve">年份组合中有 </w:t>
      </w:r>
      <w:r>
        <w:rPr/>
        <w:t xml:space="preserve">4 </w:t>
      </w:r>
      <w:r>
        <w:rPr/>
        <w:t xml:space="preserve">个更高，而 </w:t>
      </w:r>
      <w:r>
        <w:rPr/>
        <w:t xml:space="preserve">guarded </w:t>
      </w:r>
      <w:r>
        <w:rPr/>
        <w:t xml:space="preserve">仅 </w:t>
      </w:r>
      <w:r>
        <w:rPr/>
        <w:t>1/6</w:t>
      </w:r>
      <w:r>
        <w:rPr/>
        <w:t xml:space="preserve">；部分弱组完全由输入覆盖不足构成。已完成的 </w:t>
      </w:r>
      <w:r>
        <w:rPr/>
        <w:t xml:space="preserve">9 </w:t>
      </w:r>
      <w:r>
        <w:rPr/>
        <w:t xml:space="preserve">次、每臂 </w:t>
      </w:r>
      <w:r>
        <w:rPr/>
        <w:t xml:space="preserve">2 </w:t>
      </w:r>
      <w:r>
        <w:rPr/>
        <w:t>轮短流程及相关测试验证的是链路、梯度、冻结和复现，不构成性能确认。下一步应先保留反证并澄清机制，避免把“弱证据导致校正退化”写成已确定根因。</w:t>
      </w:r>
    </w:p>
    <w:p>
      <w:pPr>
        <w:pStyle w:val="Caption1"/>
        <w:keepNext w:val="true"/>
        <w:rPr/>
      </w:pPr>
      <w:r>
        <w:rPr/>
        <w:t>表</w:t>
      </w:r>
      <w:r>
        <w:rPr/>
        <w:t>5-5  2021—2022</w:t>
      </w:r>
      <w:r>
        <w:rPr/>
        <w:t>年开发折的稳健性结果</w:t>
      </w:r>
    </w:p>
    <w:tbl>
      <w:tblPr>
        <w:tblW w:w="89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91"/>
        <w:gridCol w:w="1791"/>
        <w:gridCol w:w="1791"/>
        <w:gridCol w:w="1791"/>
        <w:gridCol w:w="1791"/>
      </w:tblGrid>
      <w:tr>
        <w:trPr>
          <w:tblHeader w:val="true"/>
          <w:cantSplit w:val="true"/>
        </w:trPr>
        <w:tc>
          <w:tcPr>
            <w:tcW w:w="179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开发年</w:t>
            </w:r>
          </w:p>
        </w:tc>
        <w:tc>
          <w:tcPr>
            <w:tcW w:w="179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方案（</w:t>
            </w:r>
            <w:r>
              <w:rPr>
                <w:b/>
                <w:color w:val="000000"/>
                <w:sz w:val="18"/>
              </w:rPr>
              <w:t>guarded</w:t>
            </w:r>
            <w:r>
              <w:rPr>
                <w:rFonts w:ascii="Times New Roman" w:hAnsi="Times New Roman"/>
                <w:b/>
                <w:color w:val="000000"/>
                <w:sz w:val="18"/>
              </w:rPr>
              <w:t>）</w:t>
            </w:r>
          </w:p>
        </w:tc>
        <w:tc>
          <w:tcPr>
            <w:tcW w:w="179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宏 </w:t>
            </w:r>
            <w:r>
              <w:rPr>
                <w:b/>
                <w:color w:val="000000"/>
                <w:sz w:val="18"/>
              </w:rPr>
              <w:t>MAE±SD</w:t>
            </w:r>
          </w:p>
        </w:tc>
        <w:tc>
          <w:tcPr>
            <w:tcW w:w="179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 xml:space="preserve">宏 </w:t>
            </w:r>
            <w:r>
              <w:rPr>
                <w:b/>
                <w:color w:val="000000"/>
                <w:sz w:val="18"/>
              </w:rPr>
              <w:t>QS±SD</w:t>
            </w:r>
          </w:p>
        </w:tc>
        <w:tc>
          <w:tcPr>
            <w:tcW w:w="179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回退</w:t>
            </w:r>
            <w:r>
              <w:rPr>
                <w:b/>
                <w:color w:val="000000"/>
                <w:sz w:val="18"/>
              </w:rPr>
              <w:t>/9</w:t>
            </w:r>
          </w:p>
        </w:tc>
      </w:tr>
      <w:tr>
        <w:trPr>
          <w:cantSplit w:val="true"/>
        </w:trPr>
        <w:tc>
          <w:tcPr>
            <w:tcW w:w="1791" w:type="dxa"/>
            <w:tcBorders/>
            <w:vAlign w:val="center"/>
          </w:tcPr>
          <w:p>
            <w:pPr>
              <w:pStyle w:val="Normal"/>
              <w:keepNext w:val="true"/>
              <w:widowControl w:val="false"/>
              <w:spacing w:lineRule="auto" w:line="264" w:before="40" w:after="40"/>
              <w:ind w:hanging="0"/>
              <w:rPr/>
            </w:pPr>
            <w:r>
              <w:rPr>
                <w:b w:val="false"/>
                <w:color w:val="000000"/>
                <w:sz w:val="18"/>
              </w:rPr>
              <w:t>2021</w:t>
            </w:r>
          </w:p>
        </w:tc>
        <w:tc>
          <w:tcPr>
            <w:tcW w:w="179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 xml:space="preserve">非对称头 </w:t>
            </w:r>
            <w:r>
              <w:rPr>
                <w:b w:val="false"/>
                <w:color w:val="000000"/>
                <w:sz w:val="18"/>
              </w:rPr>
              <w:t>reference</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28.0493±0.1066</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19.9835±0.2884</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3</w:t>
            </w:r>
          </w:p>
        </w:tc>
      </w:tr>
      <w:tr>
        <w:trPr>
          <w:cantSplit w:val="true"/>
        </w:trPr>
        <w:tc>
          <w:tcPr>
            <w:tcW w:w="1791" w:type="dxa"/>
            <w:tcBorders/>
            <w:vAlign w:val="center"/>
          </w:tcPr>
          <w:p>
            <w:pPr>
              <w:pStyle w:val="Normal"/>
              <w:keepNext w:val="true"/>
              <w:widowControl w:val="false"/>
              <w:spacing w:lineRule="auto" w:line="264" w:before="40" w:after="40"/>
              <w:ind w:hanging="0"/>
              <w:rPr/>
            </w:pPr>
            <w:r>
              <w:rPr>
                <w:b w:val="false"/>
                <w:color w:val="000000"/>
                <w:sz w:val="18"/>
              </w:rPr>
              <w:t>2021</w:t>
            </w:r>
          </w:p>
        </w:tc>
        <w:tc>
          <w:tcPr>
            <w:tcW w:w="179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跨季度选择</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28.0328±0.0596</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19.9114±0.1352</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3</w:t>
            </w:r>
          </w:p>
        </w:tc>
      </w:tr>
      <w:tr>
        <w:trPr>
          <w:cantSplit w:val="true"/>
        </w:trPr>
        <w:tc>
          <w:tcPr>
            <w:tcW w:w="1791" w:type="dxa"/>
            <w:tcBorders/>
            <w:vAlign w:val="center"/>
          </w:tcPr>
          <w:p>
            <w:pPr>
              <w:pStyle w:val="Normal"/>
              <w:keepNext w:val="true"/>
              <w:widowControl w:val="false"/>
              <w:spacing w:lineRule="auto" w:line="264" w:before="40" w:after="40"/>
              <w:ind w:hanging="0"/>
              <w:rPr/>
            </w:pPr>
            <w:r>
              <w:rPr>
                <w:b w:val="false"/>
                <w:color w:val="000000"/>
                <w:sz w:val="18"/>
              </w:rPr>
              <w:t>2021</w:t>
            </w:r>
          </w:p>
        </w:tc>
        <w:tc>
          <w:tcPr>
            <w:tcW w:w="179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校正限幅</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28.0391±0.0548</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19.8878±0.0445</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3</w:t>
            </w:r>
          </w:p>
        </w:tc>
      </w:tr>
      <w:tr>
        <w:trPr>
          <w:cantSplit w:val="true"/>
        </w:trPr>
        <w:tc>
          <w:tcPr>
            <w:tcW w:w="1791" w:type="dxa"/>
            <w:tcBorders/>
            <w:vAlign w:val="center"/>
          </w:tcPr>
          <w:p>
            <w:pPr>
              <w:pStyle w:val="Normal"/>
              <w:keepNext w:val="true"/>
              <w:widowControl w:val="false"/>
              <w:spacing w:lineRule="auto" w:line="264" w:before="40" w:after="40"/>
              <w:ind w:hanging="0"/>
              <w:rPr/>
            </w:pPr>
            <w:r>
              <w:rPr>
                <w:b w:val="false"/>
                <w:color w:val="000000"/>
                <w:sz w:val="18"/>
              </w:rPr>
              <w:t>2022</w:t>
            </w:r>
          </w:p>
        </w:tc>
        <w:tc>
          <w:tcPr>
            <w:tcW w:w="179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 xml:space="preserve">非对称头 </w:t>
            </w:r>
            <w:r>
              <w:rPr>
                <w:b w:val="false"/>
                <w:color w:val="000000"/>
                <w:sz w:val="18"/>
              </w:rPr>
              <w:t>reference</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69.6511±0.6045</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42.1369±0.1162</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2</w:t>
            </w:r>
          </w:p>
        </w:tc>
      </w:tr>
      <w:tr>
        <w:trPr>
          <w:cantSplit w:val="true"/>
        </w:trPr>
        <w:tc>
          <w:tcPr>
            <w:tcW w:w="1791" w:type="dxa"/>
            <w:tcBorders/>
            <w:vAlign w:val="center"/>
          </w:tcPr>
          <w:p>
            <w:pPr>
              <w:pStyle w:val="Normal"/>
              <w:keepNext w:val="true"/>
              <w:widowControl w:val="false"/>
              <w:spacing w:lineRule="auto" w:line="264" w:before="40" w:after="40"/>
              <w:ind w:hanging="0"/>
              <w:rPr/>
            </w:pPr>
            <w:r>
              <w:rPr>
                <w:b w:val="false"/>
                <w:color w:val="000000"/>
                <w:sz w:val="18"/>
              </w:rPr>
              <w:t>2022</w:t>
            </w:r>
          </w:p>
        </w:tc>
        <w:tc>
          <w:tcPr>
            <w:tcW w:w="1791"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18"/>
              </w:rPr>
              <w:t>跨季度选择</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70.5791±0.1015</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42.7516±0.0147</w:t>
            </w:r>
          </w:p>
        </w:tc>
        <w:tc>
          <w:tcPr>
            <w:tcW w:w="1791" w:type="dxa"/>
            <w:tcBorders/>
            <w:vAlign w:val="center"/>
          </w:tcPr>
          <w:p>
            <w:pPr>
              <w:pStyle w:val="Normal"/>
              <w:keepNext w:val="true"/>
              <w:widowControl w:val="false"/>
              <w:spacing w:lineRule="auto" w:line="264" w:before="40" w:after="40"/>
              <w:ind w:hanging="0"/>
              <w:rPr/>
            </w:pPr>
            <w:r>
              <w:rPr>
                <w:b w:val="false"/>
                <w:color w:val="000000"/>
                <w:sz w:val="18"/>
              </w:rPr>
              <w:t>6</w:t>
            </w:r>
          </w:p>
        </w:tc>
      </w:tr>
      <w:tr>
        <w:trPr>
          <w:cantSplit w:val="true"/>
        </w:trPr>
        <w:tc>
          <w:tcPr>
            <w:tcW w:w="179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2022</w:t>
            </w:r>
          </w:p>
        </w:tc>
        <w:tc>
          <w:tcPr>
            <w:tcW w:w="1791"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18"/>
              </w:rPr>
              <w:t>校正限幅</w:t>
            </w:r>
          </w:p>
        </w:tc>
        <w:tc>
          <w:tcPr>
            <w:tcW w:w="179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68.8435±1.3340</w:t>
            </w:r>
          </w:p>
        </w:tc>
        <w:tc>
          <w:tcPr>
            <w:tcW w:w="179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42.0012±0.3934</w:t>
            </w:r>
          </w:p>
        </w:tc>
        <w:tc>
          <w:tcPr>
            <w:tcW w:w="179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0</w:t>
            </w:r>
          </w:p>
        </w:tc>
      </w:tr>
    </w:tbl>
    <w:p>
      <w:pPr>
        <w:pStyle w:val="Normal"/>
        <w:spacing w:before="0" w:after="0"/>
        <w:rPr/>
      </w:pPr>
      <w:r>
        <w:rPr/>
      </w:r>
    </w:p>
    <w:p>
      <w:pPr>
        <w:pStyle w:val="Normal"/>
        <w:jc w:val="both"/>
        <w:rPr/>
      </w:pPr>
      <w:r>
        <w:rPr/>
        <w:t>开发折结果与</w:t>
      </w:r>
      <w:r>
        <w:rPr/>
        <w:t>2023—2024</w:t>
      </w:r>
      <w:r>
        <w:rPr/>
        <w:t>年总体比较采用不同时间段，前者用于分析方案稳定性，不能与后者按绝对误差直接排序。校正限幅通过种子均值门槛而未通过全部单</w:t>
      </w:r>
      <w:r>
        <w:rPr/>
        <w:t>seed</w:t>
      </w:r>
      <w:r>
        <w:rPr/>
        <w:t>门槛，表明其存在保守化收益，但尚未建立跨随机初始化的一致改善。</w:t>
      </w:r>
    </w:p>
    <w:p>
      <w:pPr>
        <w:pStyle w:val="Heading2"/>
        <w:rPr/>
      </w:pPr>
      <w:bookmarkStart w:id="34" w:name="__RefHeading___Toc4075_610684220"/>
      <w:bookmarkEnd w:id="34"/>
      <w:r>
        <w:rPr/>
        <w:t xml:space="preserve">5.7 </w:t>
      </w:r>
      <w:r>
        <w:rPr/>
        <w:t>结果讨论与有效性限制</w:t>
      </w:r>
    </w:p>
    <w:p>
      <w:pPr>
        <w:pStyle w:val="Normal"/>
        <w:jc w:val="both"/>
        <w:rPr/>
      </w:pPr>
      <w:r>
        <w:rPr/>
        <w:t>总体结果支持一个明确判断：成熟历史能够在部分极端价格上补偿树模型的误差，但在常态价格、地区迁移和概率校准上的代价仍然显著。当前主要问题并非缺少模型复杂度，而是校正何时有可靠证据、应调整位置还是尺度，以及事件修正是否具有独立价值。</w:t>
      </w:r>
    </w:p>
    <w:p>
      <w:pPr>
        <w:pStyle w:val="Normal"/>
        <w:jc w:val="both"/>
        <w:rPr/>
      </w:pPr>
      <w:r>
        <w:rPr/>
        <w:t>实验尚未进行等预算超参数搜索，也未完成预训练重叠和实际首次公开时间的全面审计；相关年份已被多轮研究观察，因而结果属于回顾性分析。三个神经种子不等同于三个独立市场样本，小幅差异亦未经配对时间块显著性检验。后续需要在冻结方案后使用未参与开发的时间段确认外推表现。</w:t>
      </w:r>
      <w:r>
        <w:br w:type="page"/>
      </w:r>
    </w:p>
    <w:p>
      <w:pPr>
        <w:pStyle w:val="Heading1"/>
        <w:rPr/>
      </w:pPr>
      <w:bookmarkStart w:id="35" w:name="__RefHeading___Toc4077_610684220"/>
      <w:bookmarkEnd w:id="35"/>
      <w:r>
        <w:rPr/>
        <w:t>第</w:t>
      </w:r>
      <w:r>
        <w:rPr/>
        <w:t>6</w:t>
      </w:r>
      <w:r>
        <w:rPr/>
        <w:t>章  结论与展望</w:t>
      </w:r>
    </w:p>
    <w:p>
      <w:pPr>
        <w:pStyle w:val="Heading2"/>
        <w:rPr/>
      </w:pPr>
      <w:bookmarkStart w:id="36" w:name="__RefHeading___Toc4079_610684220"/>
      <w:bookmarkEnd w:id="36"/>
      <w:r>
        <w:rPr/>
        <w:t xml:space="preserve">6.1 </w:t>
      </w:r>
      <w:r>
        <w:rPr/>
        <w:t>阶段研究结论</w:t>
      </w:r>
    </w:p>
    <w:p>
      <w:pPr>
        <w:pStyle w:val="Normal"/>
        <w:jc w:val="both"/>
        <w:rPr/>
      </w:pPr>
      <w:r>
        <w:rPr/>
        <w:t>本研究围绕电价尖峰与概率预测，完成了统一实验流程、</w:t>
      </w:r>
      <w:r>
        <w:rPr/>
        <w:t>19</w:t>
      </w:r>
      <w:r>
        <w:rPr/>
        <w:t>个基线适配及趋势—事件联合校正方法的构建。实验表明，</w:t>
      </w:r>
      <w:r>
        <w:rPr/>
        <w:t>LightGBM</w:t>
      </w:r>
      <w:r>
        <w:rPr/>
        <w:t>仍是总体</w:t>
      </w:r>
      <w:r>
        <w:rPr/>
        <w:t>MAE</w:t>
      </w:r>
      <w:r>
        <w:rPr/>
        <w:t>和</w:t>
      </w:r>
      <w:r>
        <w:rPr/>
        <w:t>QS</w:t>
      </w:r>
      <w:r>
        <w:rPr/>
        <w:t>的最强基线；当前联合方法在部分尖峰点误差和地区上具有收益，但尚不足以抵消常态误差增加与上尾概率预测退化。</w:t>
      </w:r>
    </w:p>
    <w:p>
      <w:pPr>
        <w:pStyle w:val="Normal"/>
        <w:jc w:val="both"/>
        <w:rPr/>
      </w:pPr>
      <w:r>
        <w:rPr/>
        <w:t>方法演进揭示了从历史表征到未来预测之间的关键区别。历史曲线可被清晰分解，并不保证其误差模式能迁移到当前市场。</w:t>
      </w:r>
      <w:r>
        <w:rPr/>
        <w:t>Anchor</w:t>
      </w:r>
      <w:r>
        <w:rPr/>
        <w:t>直接监督、非对称尺度和校正限幅改善了模型约束方式，但其稳定性尚未得到充分证实；固定检查点的干预结果也未支持事件时间移动具有一致增量收益。</w:t>
      </w:r>
    </w:p>
    <w:p>
      <w:pPr>
        <w:pStyle w:val="Heading2"/>
        <w:rPr/>
      </w:pPr>
      <w:bookmarkStart w:id="37" w:name="__RefHeading___Toc4081_610684220"/>
      <w:bookmarkEnd w:id="37"/>
      <w:r>
        <w:rPr/>
        <w:t xml:space="preserve">6.2 </w:t>
      </w:r>
      <w:r>
        <w:rPr/>
        <w:t>当前研究不足</w:t>
      </w:r>
    </w:p>
    <w:p>
      <w:pPr>
        <w:pStyle w:val="Normal"/>
        <w:jc w:val="both"/>
        <w:rPr/>
      </w:pPr>
      <w:r>
        <w:rPr/>
        <w:t>目前的历史分支对所有分位作共同平移，缺少独立的事件发生概率及条件幅度表示；校正可靠性也尚未与充分的状态支持建立稳定关联。另一方面，尖峰事件数有限、预测窗口重叠及基础模型信息范围差异，使平均结果不足以完整刻画风险。现阶段应将方法定位为尚在验证的研究方案，而非已解决尖峰预测问题的成熟模型。</w:t>
      </w:r>
    </w:p>
    <w:p>
      <w:pPr>
        <w:pStyle w:val="Heading2"/>
        <w:rPr/>
      </w:pPr>
      <w:bookmarkStart w:id="38" w:name="__RefHeading___Toc4083_610684220"/>
      <w:bookmarkEnd w:id="38"/>
      <w:r>
        <w:rPr/>
        <w:t xml:space="preserve">6.3 </w:t>
      </w:r>
      <w:r>
        <w:rPr/>
        <w:t>后续研究方向</w:t>
      </w:r>
    </w:p>
    <w:p>
      <w:pPr>
        <w:pStyle w:val="Heading3"/>
        <w:rPr/>
      </w:pPr>
      <w:r>
        <w:rPr/>
        <w:t xml:space="preserve">6.3.1 </w:t>
      </w:r>
      <w:r>
        <w:rPr/>
        <w:t>误差来源与条件可靠性分析</w:t>
      </w:r>
    </w:p>
    <w:p>
      <w:pPr>
        <w:pStyle w:val="Normal"/>
        <w:jc w:val="both"/>
        <w:rPr/>
      </w:pPr>
      <w:r>
        <w:rPr/>
        <w:t>先复用既有预测，按地区、季度、预测步长、预测价格带与固定供需状态交叉分解；同时保留每组样本数、基线误差、校正获益</w:t>
      </w:r>
      <w:r>
        <w:rPr/>
        <w:t>/</w:t>
      </w:r>
      <w:r>
        <w:rPr/>
        <w:t>伤害、位移越过目标的比例。真实价格带仅作事后解释。</w:t>
      </w:r>
    </w:p>
    <w:p>
      <w:pPr>
        <w:pStyle w:val="Normal"/>
        <w:jc w:val="both"/>
        <w:rPr/>
      </w:pPr>
      <w:r>
        <w:rPr/>
        <w:t>实验规模为</w:t>
      </w:r>
      <w:r>
        <w:rPr/>
        <w:t>3</w:t>
      </w:r>
      <w:r>
        <w:rPr/>
        <w:t>地区</w:t>
      </w:r>
      <w:r>
        <w:rPr/>
        <w:t>×2</w:t>
      </w:r>
      <w:r>
        <w:rPr/>
        <w:t>开发年</w:t>
      </w:r>
      <w:r>
        <w:rPr/>
        <w:t>×3</w:t>
      </w:r>
      <w:r>
        <w:rPr/>
        <w:t>神经</w:t>
      </w:r>
      <w:r>
        <w:rPr/>
        <w:t>seed×raw/guarded</w:t>
      </w:r>
      <w:r>
        <w:rPr/>
        <w:t>；无需新训练。若弱证据与伤害关联不能跨期稳定复现，降低该假设优先级，不修改阈值反复追逐同一批结果。</w:t>
      </w:r>
    </w:p>
    <w:p>
      <w:pPr>
        <w:pStyle w:val="Heading3"/>
        <w:rPr/>
      </w:pPr>
      <w:r>
        <w:rPr/>
        <w:t xml:space="preserve">6.3.2 </w:t>
      </w:r>
      <w:r>
        <w:rPr/>
        <w:t>状态证据约束及统一收缩对照</w:t>
      </w:r>
    </w:p>
    <w:p>
      <w:pPr>
        <w:pStyle w:val="Normal"/>
        <w:jc w:val="both"/>
        <w:rPr/>
      </w:pPr>
      <w:r>
        <w:rPr/>
        <w:t xml:space="preserve">使用已冻结的 </w:t>
      </w:r>
      <w:r>
        <w:rPr/>
        <w:t>bounded_reference</w:t>
      </w:r>
      <w:r>
        <w:rPr/>
        <w:t>、</w:t>
      </w:r>
      <w:r>
        <w:rPr/>
        <w:t>constant_evidence</w:t>
      </w:r>
      <w:r>
        <w:rPr/>
        <w:t>、</w:t>
      </w:r>
      <w:r>
        <w:rPr/>
        <w:t xml:space="preserve">state_evidence </w:t>
      </w:r>
      <w:r>
        <w:rPr/>
        <w:t xml:space="preserve">三臂；同 </w:t>
      </w:r>
      <w:r>
        <w:rPr/>
        <w:t xml:space="preserve">seed </w:t>
      </w:r>
      <w:r>
        <w:rPr/>
        <w:t>匹配初始化、训练顺序及</w:t>
      </w:r>
      <w:r>
        <w:rPr/>
        <w:t>20</w:t>
      </w:r>
      <w:r>
        <w:rPr/>
        <w:t>轮预算，全部选择冻结后再评估。</w:t>
      </w:r>
    </w:p>
    <w:p>
      <w:pPr>
        <w:pStyle w:val="Normal"/>
        <w:jc w:val="both"/>
        <w:rPr/>
      </w:pPr>
      <w:r>
        <w:rPr/>
        <w:t>实验规模为</w:t>
      </w:r>
      <w:r>
        <w:rPr/>
        <w:t>3</w:t>
      </w:r>
      <w:r>
        <w:rPr/>
        <w:t>臂</w:t>
      </w:r>
      <w:r>
        <w:rPr/>
        <w:t>×3</w:t>
      </w:r>
      <w:r>
        <w:rPr/>
        <w:t>地区</w:t>
      </w:r>
      <w:r>
        <w:rPr/>
        <w:t>×2</w:t>
      </w:r>
      <w:r>
        <w:rPr/>
        <w:t>开发折</w:t>
      </w:r>
      <w:r>
        <w:rPr/>
        <w:t>×3</w:t>
      </w:r>
      <w:r>
        <w:rPr/>
        <w:t>神经</w:t>
      </w:r>
      <w:r>
        <w:rPr/>
        <w:t>seed=54</w:t>
      </w:r>
      <w:r>
        <w:rPr/>
        <w:t>次拟合。同时通过原宏</w:t>
      </w:r>
      <w:r>
        <w:rPr/>
        <w:t>/</w:t>
      </w:r>
      <w:r>
        <w:rPr/>
        <w:t>地区</w:t>
      </w:r>
      <w:r>
        <w:rPr/>
        <w:t>/</w:t>
      </w:r>
      <w:r>
        <w:rPr/>
        <w:t xml:space="preserve">春季及每 </w:t>
      </w:r>
      <w:r>
        <w:rPr/>
        <w:t>seed</w:t>
      </w:r>
      <w:r>
        <w:rPr/>
        <w:t>门槛；</w:t>
      </w:r>
      <w:r>
        <w:rPr/>
        <w:t>state</w:t>
      </w:r>
      <w:r>
        <w:rPr/>
        <w:t>须优于相同训练平均门值的</w:t>
      </w:r>
      <w:r>
        <w:rPr/>
        <w:t>constant</w:t>
      </w:r>
      <w:r>
        <w:rPr/>
        <w:t>，且弱组伤害减少不能仅由所有校正获益一起消失解释。当前尚未启动。</w:t>
      </w:r>
    </w:p>
    <w:p>
      <w:pPr>
        <w:pStyle w:val="Heading3"/>
        <w:rPr/>
      </w:pPr>
      <w:r>
        <w:rPr/>
        <w:t xml:space="preserve">6.3.3 </w:t>
      </w:r>
      <w:r>
        <w:rPr/>
        <w:t>历史事件增量价值的重训消融</w:t>
      </w:r>
    </w:p>
    <w:p>
      <w:pPr>
        <w:pStyle w:val="Normal"/>
        <w:jc w:val="both"/>
        <w:rPr/>
      </w:pPr>
      <w:r>
        <w:rPr/>
        <w:t>另行预注册重训消融：完整、无历史、仅趋势、事件无时间移动；控制状态编码、损失、训练预算，补充最近历史</w:t>
      </w:r>
      <w:r>
        <w:rPr/>
        <w:t>/</w:t>
      </w:r>
      <w:r>
        <w:rPr/>
        <w:t>状态匹配历史对照。</w:t>
      </w:r>
    </w:p>
    <w:p>
      <w:pPr>
        <w:pStyle w:val="Normal"/>
        <w:jc w:val="both"/>
        <w:rPr/>
      </w:pPr>
      <w:r>
        <w:rPr/>
        <w:t>实验规模为首轮</w:t>
      </w:r>
      <w:r>
        <w:rPr/>
        <w:t>4</w:t>
      </w:r>
      <w:r>
        <w:rPr/>
        <w:t>臂</w:t>
      </w:r>
      <w:r>
        <w:rPr/>
        <w:t>×3</w:t>
      </w:r>
      <w:r>
        <w:rPr/>
        <w:t>地区</w:t>
      </w:r>
      <w:r>
        <w:rPr/>
        <w:t>×2</w:t>
      </w:r>
      <w:r>
        <w:rPr/>
        <w:t>折</w:t>
      </w:r>
      <w:r>
        <w:rPr/>
        <w:t>×1</w:t>
      </w:r>
      <w:r>
        <w:rPr/>
        <w:t>固定</w:t>
      </w:r>
      <w:r>
        <w:rPr/>
        <w:t>seed=24</w:t>
      </w:r>
      <w:r>
        <w:rPr/>
        <w:t>次；有一致证据后扩至</w:t>
      </w:r>
      <w:r>
        <w:rPr/>
        <w:t>3seed</w:t>
      </w:r>
      <w:r>
        <w:rPr/>
        <w:t>，避免直接大规模搜索。兼顾总体</w:t>
      </w:r>
      <w:r>
        <w:rPr/>
        <w:t>MAE/QS</w:t>
      </w:r>
      <w:r>
        <w:rPr/>
        <w:t>与尖峰召回、精确率、事件发生时间偏差、强度误差；事件按唯一交付小时</w:t>
      </w:r>
      <w:r>
        <w:rPr/>
        <w:t>/</w:t>
      </w:r>
      <w:r>
        <w:rPr/>
        <w:t>连续峰段定义，避免把重叠窗口视为独立尖峰。</w:t>
      </w:r>
    </w:p>
    <w:p>
      <w:pPr>
        <w:pStyle w:val="Heading3"/>
        <w:rPr/>
      </w:pPr>
      <w:r>
        <w:rPr/>
        <w:t xml:space="preserve">6.3.4 </w:t>
      </w:r>
      <w:r>
        <w:rPr/>
        <w:t>事件概率与条件强度分离建模</w:t>
      </w:r>
    </w:p>
    <w:p>
      <w:pPr>
        <w:pStyle w:val="Normal"/>
        <w:jc w:val="both"/>
        <w:rPr/>
      </w:pPr>
      <w:r>
        <w:rPr/>
        <w:t>在基础校正可靠后，预注册独立事件发生概率与条件幅度的两阶段候选，或只对上尾施加非负事件增量；显式约束分位单调并保留负价</w:t>
      </w:r>
      <w:r>
        <w:rPr/>
        <w:t>/</w:t>
      </w:r>
      <w:r>
        <w:rPr/>
        <w:t>普通价保护。</w:t>
      </w:r>
    </w:p>
    <w:p>
      <w:pPr>
        <w:pStyle w:val="Normal"/>
        <w:jc w:val="both"/>
        <w:rPr/>
      </w:pPr>
      <w:r>
        <w:rPr/>
        <w:t>实验规模为基础限幅模型、当前共同平移事件、事件概率</w:t>
      </w:r>
      <w:r>
        <w:rPr/>
        <w:t>×</w:t>
      </w:r>
      <w:r>
        <w:rPr/>
        <w:t>条件幅度</w:t>
      </w:r>
      <w:r>
        <w:rPr/>
        <w:t>/</w:t>
      </w:r>
      <w:r>
        <w:rPr/>
        <w:t>上尾增量候选；先固定一个方案，不同时搜索多个结构。仅有极端点</w:t>
      </w:r>
      <w:r>
        <w:rPr/>
        <w:t>MAE</w:t>
      </w:r>
      <w:r>
        <w:rPr/>
        <w:t>改善不足；须同步审查上尾</w:t>
      </w:r>
      <w:r>
        <w:rPr/>
        <w:t>pinball</w:t>
      </w:r>
      <w:r>
        <w:rPr/>
        <w:t>、覆盖</w:t>
      </w:r>
      <w:r>
        <w:rPr/>
        <w:t>/</w:t>
      </w:r>
      <w:r>
        <w:rPr/>
        <w:t>宽度、误报代价和总体</w:t>
      </w:r>
      <w:r>
        <w:rPr/>
        <w:t>QS</w:t>
      </w:r>
      <w:r>
        <w:rPr/>
        <w:t>。此项为新建议，尚未实现</w:t>
      </w:r>
      <w:r>
        <w:rPr/>
        <w:t>/</w:t>
      </w:r>
      <w:r>
        <w:rPr/>
        <w:t>训练。</w:t>
      </w:r>
    </w:p>
    <w:p>
      <w:pPr>
        <w:pStyle w:val="Heading3"/>
        <w:rPr/>
      </w:pPr>
      <w:r>
        <w:rPr/>
        <w:t xml:space="preserve">6.3.5 </w:t>
      </w:r>
      <w:r>
        <w:rPr/>
        <w:t>跨时期确认与统计检验</w:t>
      </w:r>
    </w:p>
    <w:p>
      <w:pPr>
        <w:pStyle w:val="Normal"/>
        <w:jc w:val="both"/>
        <w:rPr/>
      </w:pPr>
      <w:r>
        <w:rPr/>
        <w:t>先审计实际首次公开时间及修订版本；确定尚未用于模型开发的后续时段，冻结结构、超参、选择规则后做时间前推评估。增加按预测起点时间块的配对重采样，记录多次比较。</w:t>
      </w:r>
    </w:p>
    <w:p>
      <w:pPr>
        <w:pStyle w:val="Normal"/>
        <w:jc w:val="both"/>
        <w:rPr/>
      </w:pPr>
      <w:r>
        <w:rPr/>
        <w:t>实验规模为原</w:t>
      </w:r>
      <w:r>
        <w:rPr/>
        <w:t>3</w:t>
      </w:r>
      <w:r>
        <w:rPr/>
        <w:t>地区为主；新增时间段的可用性与未见资格先核验，不能默认</w:t>
      </w:r>
      <w:r>
        <w:rPr/>
        <w:t>2025</w:t>
      </w:r>
      <w:r>
        <w:rPr/>
        <w:t>已具备盲测资格。</w:t>
      </w:r>
      <w:r>
        <w:rPr/>
        <w:t>2021/2022</w:t>
      </w:r>
      <w:r>
        <w:rPr/>
        <w:t>反复开发、</w:t>
      </w:r>
      <w:r>
        <w:rPr/>
        <w:t>2023/2024</w:t>
      </w:r>
      <w:r>
        <w:rPr/>
        <w:t>已诊断，只能称回顾性评价；三个神经</w:t>
      </w:r>
      <w:r>
        <w:rPr/>
        <w:t>seed</w:t>
      </w:r>
      <w:r>
        <w:rPr/>
        <w:t>不是三个独立市场样本。新增数据</w:t>
      </w:r>
      <w:r>
        <w:rPr/>
        <w:t>/</w:t>
      </w:r>
      <w:r>
        <w:rPr/>
        <w:t>信息权限必须另列。</w:t>
      </w:r>
    </w:p>
    <w:p>
      <w:pPr>
        <w:pStyle w:val="Heading2"/>
        <w:rPr/>
      </w:pPr>
      <w:bookmarkStart w:id="39" w:name="__RefHeading___Toc4085_610684220"/>
      <w:bookmarkEnd w:id="39"/>
      <w:r>
        <w:rPr/>
        <w:t xml:space="preserve">6.4 </w:t>
      </w:r>
      <w:r>
        <w:rPr/>
        <w:t>总结</w:t>
      </w:r>
    </w:p>
    <w:p>
      <w:pPr>
        <w:pStyle w:val="Normal"/>
        <w:jc w:val="both"/>
        <w:rPr/>
      </w:pPr>
      <w:r>
        <w:rPr/>
        <w:t>下一阶段的核心目标是在保留强基座常态精度的前提下，获得可重复的尖峰风险改善。判断新结构是否有效，应同时考察总体误差、尖峰发生与强度、误报代价及条件覆盖，并通过相同信息范围和训练预算的对照区分数据价值、校正收缩与结构创新。只有在这些证据形成一致支持后，才能进一步提出稳定的模型贡献。</w:t>
      </w:r>
      <w:r>
        <w:br w:type="page"/>
      </w:r>
    </w:p>
    <w:p>
      <w:pPr>
        <w:pStyle w:val="Heading1"/>
        <w:rPr/>
      </w:pPr>
      <w:bookmarkStart w:id="40" w:name="__RefHeading___Toc4087_610684220"/>
      <w:bookmarkEnd w:id="40"/>
      <w:r>
        <w:rPr/>
        <w:t>参考文献</w:t>
      </w:r>
    </w:p>
    <w:p>
      <w:pPr>
        <w:pStyle w:val="Normal"/>
        <w:spacing w:lineRule="auto" w:line="276" w:before="0" w:after="120"/>
        <w:ind w:left="397" w:hanging="397"/>
        <w:jc w:val="both"/>
        <w:rPr/>
      </w:pPr>
      <w:r>
        <w:rPr>
          <w:sz w:val="21"/>
        </w:rPr>
        <w:t>[1] Weron, Rafał. Electricity price forecasting: A review of the state-of-the-art with a look into the future. International Journal of Forecasting, 2014, 30(4):1030–1081.</w:t>
      </w:r>
      <w:r>
        <w:rPr/>
        <w:t xml:space="preserve"> </w:t>
      </w:r>
      <w:hyperlink r:id="rId22">
        <w:r>
          <w:rPr>
            <w:sz w:val="19"/>
          </w:rPr>
          <w:t>https://doi.org/10.1016/j.ijforecast.2014.08.008</w:t>
        </w:r>
      </w:hyperlink>
    </w:p>
    <w:p>
      <w:pPr>
        <w:pStyle w:val="Normal"/>
        <w:spacing w:lineRule="auto" w:line="276" w:before="0" w:after="120"/>
        <w:ind w:left="397" w:hanging="397"/>
        <w:jc w:val="both"/>
        <w:rPr/>
      </w:pPr>
      <w:r>
        <w:rPr>
          <w:sz w:val="21"/>
        </w:rPr>
        <w:t>[2] Nowotarski, Jakub; Weron, Rafał. Recent advances in electricity price forecasting: A review of probabilistic forecasting. Renewable and Sustainable Energy Reviews, 2018, 81:1548–1568.</w:t>
      </w:r>
      <w:r>
        <w:rPr/>
        <w:t xml:space="preserve"> </w:t>
      </w:r>
      <w:hyperlink r:id="rId23">
        <w:r>
          <w:rPr>
            <w:sz w:val="19"/>
          </w:rPr>
          <w:t>https://doi.org/10.1016/j.rser.2017.05.234</w:t>
        </w:r>
      </w:hyperlink>
    </w:p>
    <w:p>
      <w:pPr>
        <w:pStyle w:val="Normal"/>
        <w:spacing w:lineRule="auto" w:line="276" w:before="0" w:after="120"/>
        <w:ind w:left="397" w:hanging="397"/>
        <w:jc w:val="both"/>
        <w:rPr/>
      </w:pPr>
      <w:r>
        <w:rPr>
          <w:sz w:val="21"/>
        </w:rPr>
        <w:t>[3] Lago, Jesus; Marcjasz, Grzegorz; De Schutter, Bart; Weron, Rafał. Forecasting day-ahead electricity prices: A review of state-of-the-art algorithms, best practices and an open-access benchmark. Applied Energy, 2021, 293:116983.</w:t>
      </w:r>
      <w:r>
        <w:rPr/>
        <w:t xml:space="preserve"> </w:t>
      </w:r>
      <w:hyperlink r:id="rId24">
        <w:r>
          <w:rPr>
            <w:sz w:val="19"/>
          </w:rPr>
          <w:t>https://doi.org/10.1016/j.apenergy.2021.116983</w:t>
        </w:r>
      </w:hyperlink>
    </w:p>
    <w:p>
      <w:pPr>
        <w:pStyle w:val="Normal"/>
        <w:spacing w:lineRule="auto" w:line="276" w:before="0" w:after="120"/>
        <w:ind w:left="397" w:hanging="397"/>
        <w:jc w:val="both"/>
        <w:rPr/>
      </w:pPr>
      <w:r>
        <w:rPr>
          <w:sz w:val="21"/>
        </w:rPr>
        <w:t>[4] Zhang, Wencheng; Li, Long; Qin, Huayi; Wu, Zongjuan; Li, Jing; Chen, Wanghu. DualTimesField: Rethinking Time Series as Continuous-Time Trends and Events. ICML, PMLR, 2026, 306:156544–156566.</w:t>
      </w:r>
      <w:r>
        <w:rPr/>
        <w:t xml:space="preserve"> </w:t>
      </w:r>
      <w:hyperlink r:id="rId25">
        <w:r>
          <w:rPr>
            <w:sz w:val="19"/>
          </w:rPr>
          <w:t>https://proceedings.mlr.press/v306/zhang26co.html</w:t>
        </w:r>
      </w:hyperlink>
    </w:p>
    <w:p>
      <w:pPr>
        <w:pStyle w:val="Normal"/>
        <w:spacing w:lineRule="auto" w:line="276" w:before="0" w:after="120"/>
        <w:ind w:left="397" w:hanging="397"/>
        <w:jc w:val="both"/>
        <w:rPr/>
      </w:pPr>
      <w:r>
        <w:rPr>
          <w:sz w:val="21"/>
        </w:rPr>
        <w:t>[5] Zeng, Ailing; Chen, Muxi; Zhang, Lei; Xu, Qiang (2023). Are Transformers Effective for Time Series Forecasting?. Proceedings of the AAAI Conference on Artificial Intelligence, 37(9), 11121–11128.</w:t>
      </w:r>
      <w:r>
        <w:rPr/>
        <w:t xml:space="preserve"> </w:t>
      </w:r>
      <w:hyperlink r:id="rId26">
        <w:r>
          <w:rPr>
            <w:sz w:val="19"/>
          </w:rPr>
          <w:t>https://doi.org/10.1609/aaai.v37i9.26317</w:t>
        </w:r>
      </w:hyperlink>
    </w:p>
    <w:p>
      <w:pPr>
        <w:pStyle w:val="Normal"/>
        <w:spacing w:lineRule="auto" w:line="276" w:before="0" w:after="120"/>
        <w:ind w:left="397" w:hanging="397"/>
        <w:jc w:val="both"/>
        <w:rPr/>
      </w:pPr>
      <w:r>
        <w:rPr>
          <w:sz w:val="21"/>
        </w:rPr>
        <w:t>[6] Rumelhart, David E.; Hinton, Geoffrey E.; Williams, Ronald J. (1986). Learning representations by back-propagating errors. Nature, 323, 533–536.</w:t>
      </w:r>
      <w:r>
        <w:rPr/>
        <w:t xml:space="preserve"> </w:t>
      </w:r>
      <w:hyperlink r:id="rId27">
        <w:r>
          <w:rPr>
            <w:sz w:val="19"/>
          </w:rPr>
          <w:t>https://doi.org/10.1038/323533a0</w:t>
        </w:r>
      </w:hyperlink>
    </w:p>
    <w:p>
      <w:pPr>
        <w:pStyle w:val="Normal"/>
        <w:spacing w:lineRule="auto" w:line="276" w:before="0" w:after="120"/>
        <w:ind w:left="397" w:hanging="397"/>
        <w:jc w:val="both"/>
        <w:rPr/>
      </w:pPr>
      <w:r>
        <w:rPr>
          <w:sz w:val="21"/>
        </w:rPr>
        <w:t>[7] Tibshirani, Robert (1996). Regression Shrinkage and Selection Via the Lasso. Journal of the Royal Statistical Society: Series B (Methodological), 58(1), 267–288.</w:t>
      </w:r>
      <w:r>
        <w:rPr/>
        <w:t xml:space="preserve"> </w:t>
      </w:r>
      <w:hyperlink r:id="rId28">
        <w:r>
          <w:rPr>
            <w:sz w:val="19"/>
          </w:rPr>
          <w:t>https://doi.org/10.1111/j.2517-6161.1996.tb02080.x</w:t>
        </w:r>
      </w:hyperlink>
    </w:p>
    <w:p>
      <w:pPr>
        <w:pStyle w:val="Normal"/>
        <w:spacing w:lineRule="auto" w:line="276" w:before="0" w:after="120"/>
        <w:ind w:left="397" w:hanging="397"/>
        <w:jc w:val="both"/>
        <w:rPr/>
      </w:pPr>
      <w:r>
        <w:rPr>
          <w:sz w:val="21"/>
        </w:rPr>
        <w:t>[8] Lei, Jing; G'Sell, Max; Rinaldo, Alessandro; Tibshirani, Ryan J.; Wasserman, Larry (2018). Distribution-Free Predictive Inference for Regression. Journal of the American Statistical Association, 113(523), 1094–1111.</w:t>
      </w:r>
      <w:r>
        <w:rPr/>
        <w:t xml:space="preserve"> </w:t>
      </w:r>
      <w:hyperlink r:id="rId29">
        <w:r>
          <w:rPr>
            <w:sz w:val="19"/>
          </w:rPr>
          <w:t>https://doi.org/10.1080/01621459.2017.1307116</w:t>
        </w:r>
      </w:hyperlink>
    </w:p>
    <w:p>
      <w:pPr>
        <w:pStyle w:val="Normal"/>
        <w:spacing w:lineRule="auto" w:line="276" w:before="0" w:after="120"/>
        <w:ind w:left="397" w:hanging="397"/>
        <w:jc w:val="both"/>
        <w:rPr/>
      </w:pPr>
      <w:r>
        <w:rPr>
          <w:sz w:val="21"/>
        </w:rPr>
        <w:t>[9] Lipiecki, Arkadiusz; Weron, Rafał (2025). PostForecasts.jl: A Julia package for probabilistic forecasting by postprocessing point predictions. SoftwareX, 31, 102200.</w:t>
      </w:r>
      <w:r>
        <w:rPr/>
        <w:t xml:space="preserve"> </w:t>
      </w:r>
      <w:hyperlink r:id="rId30">
        <w:r>
          <w:rPr>
            <w:sz w:val="19"/>
          </w:rPr>
          <w:t>https://doi.org/10.1016/j.softx.2025.102200</w:t>
        </w:r>
      </w:hyperlink>
    </w:p>
    <w:p>
      <w:pPr>
        <w:pStyle w:val="Normal"/>
        <w:spacing w:lineRule="auto" w:line="276" w:before="0" w:after="120"/>
        <w:ind w:left="397" w:hanging="397"/>
        <w:jc w:val="both"/>
        <w:rPr/>
      </w:pPr>
      <w:r>
        <w:rPr>
          <w:sz w:val="21"/>
        </w:rPr>
        <w:t>[10] Ke, Guolin; Meng, Qi; Finley, Thomas; Wang, Taifeng; Chen, Wei; Ma, Weidong; Ye, Qiwei; Liu, Tie-Yan (2017). LightGBM: A Highly Efficient Gradient Boosting Decision Tree. Advances in Neural Information Processing Systems 30.</w:t>
      </w:r>
      <w:r>
        <w:rPr/>
        <w:t xml:space="preserve"> </w:t>
      </w:r>
      <w:hyperlink r:id="rId31">
        <w:r>
          <w:rPr>
            <w:sz w:val="19"/>
          </w:rPr>
          <w:t>https://proceedings.neurips.cc/paper_files/paper/2017/hash/6449f44a102fde848669bdd9eb6b76fa-Abstract.html</w:t>
        </w:r>
      </w:hyperlink>
    </w:p>
    <w:p>
      <w:pPr>
        <w:pStyle w:val="Normal"/>
        <w:spacing w:lineRule="auto" w:line="276" w:before="0" w:after="120"/>
        <w:ind w:left="397" w:hanging="397"/>
        <w:jc w:val="both"/>
        <w:rPr/>
      </w:pPr>
      <w:r>
        <w:rPr>
          <w:sz w:val="21"/>
        </w:rPr>
        <w:t>[11] Chen, Tianqi; Guestrin, Carlos (2016). XGBoost: A Scalable Tree Boosting System. KDD, 785–794.</w:t>
      </w:r>
      <w:r>
        <w:rPr/>
        <w:t xml:space="preserve"> </w:t>
      </w:r>
      <w:hyperlink r:id="rId32">
        <w:r>
          <w:rPr>
            <w:sz w:val="19"/>
          </w:rPr>
          <w:t>https://doi.org/10.1145/2939672.2939785</w:t>
        </w:r>
      </w:hyperlink>
    </w:p>
    <w:p>
      <w:pPr>
        <w:pStyle w:val="Normal"/>
        <w:spacing w:lineRule="auto" w:line="276" w:before="0" w:after="120"/>
        <w:ind w:left="397" w:hanging="397"/>
        <w:jc w:val="both"/>
        <w:rPr/>
      </w:pPr>
      <w:r>
        <w:rPr>
          <w:sz w:val="21"/>
        </w:rPr>
        <w:t>[12] Nie, Yuqi; Nguyen, Nam H.; Sinthong, Phanwadee; Kalagnanam, Jayant (2023). A Time Series is Worth 64 Words: Long-term Forecasting with Transformers. ICLR.</w:t>
      </w:r>
      <w:r>
        <w:rPr/>
        <w:t xml:space="preserve"> </w:t>
      </w:r>
      <w:hyperlink r:id="rId33">
        <w:r>
          <w:rPr>
            <w:sz w:val="19"/>
          </w:rPr>
          <w:t>https://arxiv.org/abs/2211.14730</w:t>
        </w:r>
      </w:hyperlink>
    </w:p>
    <w:p>
      <w:pPr>
        <w:pStyle w:val="Normal"/>
        <w:spacing w:lineRule="auto" w:line="276" w:before="0" w:after="120"/>
        <w:ind w:left="397" w:hanging="397"/>
        <w:jc w:val="both"/>
        <w:rPr/>
      </w:pPr>
      <w:r>
        <w:rPr>
          <w:sz w:val="21"/>
        </w:rPr>
        <w:t>[13] Kim, Taesung; Kim, Jinhee; Tae, Yunwon; Park, Cheonbok; Choi, Jang-Ho; Choo, Jaegul (2022). Reversible Instance Normalization for Accurate Time-Series Forecasting against Distribution Shift. ICLR.</w:t>
      </w:r>
      <w:r>
        <w:rPr/>
        <w:t xml:space="preserve"> </w:t>
      </w:r>
      <w:hyperlink r:id="rId34">
        <w:r>
          <w:rPr>
            <w:sz w:val="19"/>
          </w:rPr>
          <w:t>https://openreview.net/forum?id=cGDAkQo1C0p</w:t>
        </w:r>
      </w:hyperlink>
    </w:p>
    <w:p>
      <w:pPr>
        <w:pStyle w:val="Normal"/>
        <w:spacing w:lineRule="auto" w:line="276" w:before="0" w:after="120"/>
        <w:ind w:left="397" w:hanging="397"/>
        <w:jc w:val="both"/>
        <w:rPr/>
      </w:pPr>
      <w:r>
        <w:rPr>
          <w:sz w:val="21"/>
        </w:rPr>
        <w:t>[14] Yemets, Kyrylo; Lukashchuk, Mykola; Izonin, Ivan (2025). GateTS: Versatile and Efficient Forecasting via Attention-Inspired routed Mixture-of-Experts. arXiv:2508.17515.</w:t>
      </w:r>
      <w:r>
        <w:rPr/>
        <w:t xml:space="preserve"> </w:t>
      </w:r>
      <w:hyperlink r:id="rId35">
        <w:r>
          <w:rPr>
            <w:sz w:val="19"/>
          </w:rPr>
          <w:t>https://arxiv.org/abs/2508.17515</w:t>
        </w:r>
      </w:hyperlink>
    </w:p>
    <w:p>
      <w:pPr>
        <w:pStyle w:val="Normal"/>
        <w:spacing w:lineRule="auto" w:line="276" w:before="0" w:after="120"/>
        <w:ind w:left="397" w:hanging="397"/>
        <w:jc w:val="both"/>
        <w:rPr/>
      </w:pPr>
      <w:r>
        <w:rPr>
          <w:sz w:val="21"/>
        </w:rPr>
        <w:t>[15] Wang, Yuxuan; Wu, Haixu; Dong, Jiaxiang; Qin, Guo; Zhang, Haoran; Liu, Yong; Qiu, Yunzhong; Wang, Jianmin; Long, Mingsheng (2024). TimeXer: Empowering Transformers for Time Series Forecasting with Exogenous Variables. Advances in Neural Information Processing Systems 37, 469–498.</w:t>
      </w:r>
      <w:r>
        <w:rPr/>
        <w:t xml:space="preserve"> </w:t>
      </w:r>
      <w:hyperlink r:id="rId36">
        <w:r>
          <w:rPr>
            <w:sz w:val="19"/>
          </w:rPr>
          <w:t>https://proceedings.neurips.cc/paper_files/paper/2024/hash/0113ef4642264adc2e6924a3cbbdf532-Abstract-Conference.html</w:t>
        </w:r>
      </w:hyperlink>
    </w:p>
    <w:p>
      <w:pPr>
        <w:pStyle w:val="Normal"/>
        <w:spacing w:lineRule="auto" w:line="276" w:before="0" w:after="120"/>
        <w:ind w:left="397" w:hanging="397"/>
        <w:jc w:val="both"/>
        <w:rPr/>
      </w:pPr>
      <w:r>
        <w:rPr>
          <w:sz w:val="21"/>
        </w:rPr>
        <w:t>[16] Yu, Runyao; Gu, Chenhui; Stiasny, Jochen; Wen, Qingsong; Dilov, Wasim Sarwar; Qi, Lianlian; Cremer, Jochen L. (2025). PriceFM: Foundation Model for Probabilistic Electricity Price Forecasting. arXiv:2508.04875 (v4 revised 2026).</w:t>
      </w:r>
      <w:r>
        <w:rPr/>
        <w:t xml:space="preserve"> </w:t>
      </w:r>
      <w:hyperlink r:id="rId37">
        <w:r>
          <w:rPr>
            <w:sz w:val="19"/>
          </w:rPr>
          <w:t>https://arxiv.org/abs/2508.04875</w:t>
        </w:r>
      </w:hyperlink>
    </w:p>
    <w:p>
      <w:pPr>
        <w:pStyle w:val="Normal"/>
        <w:spacing w:lineRule="auto" w:line="276" w:before="0" w:after="120"/>
        <w:ind w:left="397" w:hanging="397"/>
        <w:jc w:val="both"/>
        <w:rPr/>
      </w:pPr>
      <w:r>
        <w:rPr>
          <w:sz w:val="21"/>
        </w:rPr>
        <w:t>[17] Marcjasz, Grzegorz; Narajewski, Michał; Weron, Rafał; Ziel, Florian (2023). Distributional neural networks for electricity price forecasting. Energy Economics, 125, 106843.</w:t>
      </w:r>
      <w:r>
        <w:rPr/>
        <w:t xml:space="preserve"> </w:t>
      </w:r>
      <w:hyperlink r:id="rId38">
        <w:r>
          <w:rPr>
            <w:sz w:val="19"/>
          </w:rPr>
          <w:t>https://doi.org/10.1016/j.eneco.2023.106843</w:t>
        </w:r>
      </w:hyperlink>
    </w:p>
    <w:p>
      <w:pPr>
        <w:pStyle w:val="Normal"/>
        <w:spacing w:lineRule="auto" w:line="276" w:before="0" w:after="120"/>
        <w:ind w:left="397" w:hanging="397"/>
        <w:jc w:val="both"/>
        <w:rPr/>
      </w:pPr>
      <w:r>
        <w:rPr>
          <w:sz w:val="21"/>
        </w:rPr>
        <w:t>[18] Lebedev, Andreas; Das, Abhinav; Pappert, Sven; Schlüter, Stephan (2026). Analyzing Uncertainty Quantification in Statistical and Deep Learning Models for Probabilistic Electricity Price Forecasting. IEEE Access, 14, 52162–52189.</w:t>
      </w:r>
      <w:r>
        <w:rPr/>
        <w:t xml:space="preserve"> </w:t>
      </w:r>
      <w:hyperlink r:id="rId39">
        <w:r>
          <w:rPr>
            <w:sz w:val="19"/>
          </w:rPr>
          <w:t>https://doi.org/10.1109/ACCESS.2026.3672716</w:t>
        </w:r>
      </w:hyperlink>
    </w:p>
    <w:p>
      <w:pPr>
        <w:pStyle w:val="Normal"/>
        <w:spacing w:lineRule="auto" w:line="276" w:before="0" w:after="120"/>
        <w:ind w:left="397" w:hanging="397"/>
        <w:jc w:val="both"/>
        <w:rPr/>
      </w:pPr>
      <w:r>
        <w:rPr>
          <w:sz w:val="21"/>
        </w:rPr>
        <w:t>[19] Nowotarski, Jakub; Weron, Rafał (2015). Computing electricity spot price prediction intervals using quantile regression and forecast averaging. Computational Statistics, 30(3), 791–803.</w:t>
      </w:r>
      <w:r>
        <w:rPr/>
        <w:t xml:space="preserve"> </w:t>
      </w:r>
      <w:hyperlink r:id="rId40">
        <w:r>
          <w:rPr>
            <w:sz w:val="19"/>
          </w:rPr>
          <w:t>https://doi.org/10.1007/s00180-014-0523-0</w:t>
        </w:r>
      </w:hyperlink>
    </w:p>
    <w:p>
      <w:pPr>
        <w:pStyle w:val="Normal"/>
        <w:spacing w:lineRule="auto" w:line="276" w:before="0" w:after="120"/>
        <w:ind w:left="397" w:hanging="397"/>
        <w:jc w:val="both"/>
        <w:rPr/>
      </w:pPr>
      <w:r>
        <w:rPr>
          <w:sz w:val="21"/>
        </w:rPr>
        <w:t>[20] Challu, Cristian; Olivares, Kin G.; Oreshkin, Boris N.; Garza Ramirez, Federico; Mergenthaler Canseco, Max; Dubrawski, Artur (2023). NHITS: Neural Hierarchical Interpolation for Time Series Forecasting. Proceedings of the AAAI Conference on Artificial Intelligence, 37(6), 6989–6997.</w:t>
      </w:r>
      <w:r>
        <w:rPr/>
        <w:t xml:space="preserve"> </w:t>
      </w:r>
      <w:hyperlink r:id="rId41">
        <w:r>
          <w:rPr>
            <w:sz w:val="19"/>
          </w:rPr>
          <w:t>https://doi.org/10.1609/aaai.v37i6.25854</w:t>
        </w:r>
      </w:hyperlink>
    </w:p>
    <w:p>
      <w:pPr>
        <w:pStyle w:val="Normal"/>
        <w:spacing w:lineRule="auto" w:line="276" w:before="0" w:after="120"/>
        <w:ind w:left="397" w:hanging="397"/>
        <w:jc w:val="both"/>
        <w:rPr/>
      </w:pPr>
      <w:r>
        <w:rPr>
          <w:sz w:val="21"/>
        </w:rPr>
        <w:t>[21] Gal, Yarin; Ghahramani, Zoubin (2016). Dropout as a Bayesian Approximation: Representing Model Uncertainty in Deep Learning. ICML, PMLR 48, 1050–1059.</w:t>
      </w:r>
      <w:r>
        <w:rPr/>
        <w:t xml:space="preserve"> </w:t>
      </w:r>
      <w:hyperlink r:id="rId42">
        <w:r>
          <w:rPr>
            <w:sz w:val="19"/>
          </w:rPr>
          <w:t>https://proceedings.mlr.press/v48/gal16.html</w:t>
        </w:r>
      </w:hyperlink>
    </w:p>
    <w:p>
      <w:pPr>
        <w:pStyle w:val="Normal"/>
        <w:spacing w:lineRule="auto" w:line="276" w:before="0" w:after="120"/>
        <w:ind w:left="397" w:hanging="397"/>
        <w:jc w:val="both"/>
        <w:rPr/>
      </w:pPr>
      <w:r>
        <w:rPr>
          <w:sz w:val="21"/>
        </w:rPr>
        <w:t>[22] Lettner, Jan Niklas; El Ashhab, Hadeer; Hagenmeyer, Veit; Schäfer, Benjamin (2026). Assessing the Performance-Efficiency Trade-off of Foundation Models in Probabilistic Electricity Price Forecasting. arXiv:2604.14739.</w:t>
      </w:r>
      <w:r>
        <w:rPr/>
        <w:t xml:space="preserve"> </w:t>
      </w:r>
      <w:hyperlink r:id="rId43">
        <w:r>
          <w:rPr>
            <w:sz w:val="19"/>
          </w:rPr>
          <w:t>https://arxiv.org/abs/2604.14739</w:t>
        </w:r>
      </w:hyperlink>
    </w:p>
    <w:p>
      <w:pPr>
        <w:pStyle w:val="Normal"/>
        <w:spacing w:lineRule="auto" w:line="276" w:before="0" w:after="120"/>
        <w:ind w:left="397" w:hanging="397"/>
        <w:jc w:val="both"/>
        <w:rPr/>
      </w:pPr>
      <w:r>
        <w:rPr>
          <w:sz w:val="21"/>
        </w:rPr>
        <w:t>[23] Lettner, Jan Niklas; El Ashhab, Hadeer; Schäfer, Benjamin (2026). Investigating Calibration Challenges in Probabilistic Electricity Price Forecasting. Proceedings of the 2026 ACM Sustainability Week, 565–566.</w:t>
      </w:r>
      <w:r>
        <w:rPr/>
        <w:t xml:space="preserve"> </w:t>
      </w:r>
      <w:hyperlink r:id="rId44">
        <w:r>
          <w:rPr>
            <w:sz w:val="19"/>
          </w:rPr>
          <w:t>https://doi.org/10.1145/3765611.3815392</w:t>
        </w:r>
      </w:hyperlink>
    </w:p>
    <w:p>
      <w:pPr>
        <w:pStyle w:val="Normal"/>
        <w:spacing w:lineRule="auto" w:line="276" w:before="0" w:after="120"/>
        <w:ind w:left="397" w:hanging="397"/>
        <w:jc w:val="both"/>
        <w:rPr/>
      </w:pPr>
      <w:r>
        <w:rPr>
          <w:sz w:val="21"/>
        </w:rPr>
        <w:t>[24] Grinsztajn, Léo; Flöge, Klemens; Key, Oscar; et al. (2026). TabPFN-3: Technical Report. arXiv:2605.13986v2.</w:t>
      </w:r>
      <w:r>
        <w:rPr/>
        <w:t xml:space="preserve"> </w:t>
      </w:r>
      <w:hyperlink r:id="rId45">
        <w:r>
          <w:rPr>
            <w:sz w:val="19"/>
          </w:rPr>
          <w:t>https://arxiv.org/abs/2605.13986</w:t>
        </w:r>
      </w:hyperlink>
    </w:p>
    <w:p>
      <w:pPr>
        <w:pStyle w:val="Normal"/>
        <w:spacing w:lineRule="auto" w:line="276" w:before="0" w:after="120"/>
        <w:ind w:left="397" w:hanging="397"/>
        <w:jc w:val="both"/>
        <w:rPr/>
      </w:pPr>
      <w:r>
        <w:rPr>
          <w:sz w:val="21"/>
        </w:rPr>
        <w:t>[25] Hollmann, Noah; Müller, Samuel; Purucker, Lennart; Krishnakumar, Arjun; Körfer, Max; Hoo, Shi Bin; Schirrmeister, Robin Tibor; Hutter, Frank (2025). Accurate predictions on small data with a tabular foundation model. Nature, 637, 319–326.</w:t>
      </w:r>
      <w:r>
        <w:rPr/>
        <w:t xml:space="preserve"> </w:t>
      </w:r>
      <w:hyperlink r:id="rId46">
        <w:r>
          <w:rPr>
            <w:sz w:val="19"/>
          </w:rPr>
          <w:t>https://www.nature.com/articles/s41586-024-08328-6</w:t>
        </w:r>
      </w:hyperlink>
    </w:p>
    <w:p>
      <w:pPr>
        <w:pStyle w:val="Normal"/>
        <w:spacing w:lineRule="auto" w:line="276" w:before="0" w:after="120"/>
        <w:ind w:left="397" w:hanging="397"/>
        <w:jc w:val="both"/>
        <w:rPr/>
      </w:pPr>
      <w:r>
        <w:rPr>
          <w:sz w:val="21"/>
        </w:rPr>
        <w:t>[26] Ansari, Abdul Fatir; Shchur, Oleksandr; Küken, Jaris; et al. (2025). Chronos-2: From Univariate to Universal Forecasting. arXiv:2510.15821.</w:t>
      </w:r>
      <w:r>
        <w:rPr/>
        <w:t xml:space="preserve"> </w:t>
      </w:r>
      <w:hyperlink r:id="rId47">
        <w:r>
          <w:rPr>
            <w:sz w:val="19"/>
          </w:rPr>
          <w:t>https://arxiv.org/abs/2510.15821</w:t>
        </w:r>
      </w:hyperlink>
    </w:p>
    <w:p>
      <w:pPr>
        <w:pStyle w:val="Normal"/>
        <w:spacing w:lineRule="auto" w:line="276" w:before="0" w:after="120"/>
        <w:ind w:left="397" w:hanging="397"/>
        <w:jc w:val="both"/>
        <w:rPr/>
      </w:pPr>
      <w:r>
        <w:rPr>
          <w:sz w:val="21"/>
        </w:rPr>
        <w:t>[27] Liu, Chenghao; Aksu, Taha; Liu, Juncheng; Liu, Xu; Yan, Hanshu; Pham, Quang; Savarese, Silvio; Sahoo, Doyen; Xiong, Caiming; Li, Junnan (2025; revised 2026). Moirai 2.0: When Less Is More for Time Series Forecasting. arXiv:2511.11698v3.</w:t>
      </w:r>
      <w:r>
        <w:rPr/>
        <w:t xml:space="preserve"> </w:t>
      </w:r>
      <w:hyperlink r:id="rId48">
        <w:r>
          <w:rPr>
            <w:sz w:val="19"/>
          </w:rPr>
          <w:t>https://arxiv.org/abs/2511.11698</w:t>
        </w:r>
      </w:hyperlink>
    </w:p>
    <w:p>
      <w:pPr>
        <w:pStyle w:val="Normal"/>
        <w:spacing w:lineRule="auto" w:line="276" w:before="0" w:after="120"/>
        <w:ind w:left="397" w:hanging="397"/>
        <w:jc w:val="both"/>
        <w:rPr/>
      </w:pPr>
      <w:r>
        <w:rPr>
          <w:sz w:val="21"/>
        </w:rPr>
        <w:t>[28] Das, Abhimanyu; Kong, Weihao; Sen, Rajat; Zhou, Yichen (2024). A decoder-only foundation model for time-series forecasting. Proceedings of the 41st International Conference on Machine Learning, PMLR 235, 10148–10167.</w:t>
      </w:r>
      <w:r>
        <w:rPr/>
        <w:t xml:space="preserve"> </w:t>
      </w:r>
      <w:hyperlink r:id="rId49">
        <w:r>
          <w:rPr>
            <w:sz w:val="19"/>
          </w:rPr>
          <w:t>https://proceedings.mlr.press/v235/das24c.html</w:t>
        </w:r>
      </w:hyperlink>
    </w:p>
    <w:p>
      <w:pPr>
        <w:pStyle w:val="Normal"/>
        <w:spacing w:lineRule="auto" w:line="276" w:before="0" w:after="120"/>
        <w:ind w:left="397" w:hanging="397"/>
        <w:jc w:val="both"/>
        <w:rPr/>
      </w:pPr>
      <w:r>
        <w:rPr>
          <w:sz w:val="21"/>
        </w:rPr>
        <w:t xml:space="preserve">[29] Australian Energy Market Operator (AEMO). Aggregated price and demand data. </w:t>
      </w:r>
      <w:r>
        <w:rPr>
          <w:sz w:val="21"/>
        </w:rPr>
        <w:t>官方数据入口，访问日期：</w:t>
      </w:r>
      <w:r>
        <w:rPr>
          <w:sz w:val="21"/>
        </w:rPr>
        <w:t>2026-10-26.</w:t>
      </w:r>
      <w:r>
        <w:rPr/>
        <w:t xml:space="preserve"> </w:t>
      </w:r>
      <w:hyperlink r:id="rId50">
        <w:r>
          <w:rPr>
            <w:sz w:val="19"/>
          </w:rPr>
          <w:t>https://www.aemo.com.au/energy-systems/electricity/national-electricity-market-nem/data-nem/aggregated-data</w:t>
        </w:r>
      </w:hyperlink>
      <w:r>
        <w:br w:type="page"/>
      </w:r>
    </w:p>
    <w:p>
      <w:pPr>
        <w:pStyle w:val="Heading1"/>
        <w:rPr/>
      </w:pPr>
      <w:bookmarkStart w:id="41" w:name="__RefHeading___Toc4089_610684220"/>
      <w:bookmarkEnd w:id="41"/>
      <w:r>
        <w:rPr/>
        <w:t>附录</w:t>
      </w:r>
      <w:r>
        <w:rPr/>
        <w:t xml:space="preserve">A  </w:t>
      </w:r>
      <w:r>
        <w:rPr/>
        <w:t>补充实验结果</w:t>
      </w:r>
    </w:p>
    <w:p>
      <w:pPr>
        <w:pStyle w:val="Normal"/>
        <w:jc w:val="both"/>
        <w:rPr/>
      </w:pPr>
      <w:r>
        <w:rPr/>
        <w:t>表</w:t>
      </w:r>
      <w:r>
        <w:rPr/>
        <w:t>A-1</w:t>
      </w:r>
      <w:r>
        <w:rPr/>
        <w:t>补充旧静态</w:t>
      </w:r>
      <w:r>
        <w:rPr/>
        <w:t>Full</w:t>
      </w:r>
      <w:r>
        <w:rPr/>
        <w:t>与无场结构的同协议结果。它们属于历史结构对照，与当前联合方法的模型身份不同。表</w:t>
      </w:r>
      <w:r>
        <w:rPr/>
        <w:t>A-2</w:t>
      </w:r>
      <w:r>
        <w:rPr/>
        <w:t>提供全部</w:t>
      </w:r>
      <w:r>
        <w:rPr/>
        <w:t>25</w:t>
      </w:r>
      <w:r>
        <w:rPr/>
        <w:t>个输出的价格分层</w:t>
      </w:r>
      <w:r>
        <w:rPr/>
        <w:t>MAE</w:t>
      </w:r>
      <w:r>
        <w:rPr/>
        <w:t>。</w:t>
      </w:r>
    </w:p>
    <w:p>
      <w:pPr>
        <w:pStyle w:val="Caption1"/>
        <w:keepNext w:val="true"/>
        <w:rPr/>
      </w:pPr>
      <w:r>
        <w:rPr/>
        <w:t>表</w:t>
      </w:r>
      <w:r>
        <w:rPr/>
        <w:t xml:space="preserve">A-1  </w:t>
      </w:r>
      <w:r>
        <w:rPr/>
        <w:t>历史静态结构对照</w:t>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1"/>
        <w:gridCol w:w="2268"/>
        <w:gridCol w:w="2267"/>
        <w:gridCol w:w="1871"/>
      </w:tblGrid>
      <w:tr>
        <w:trPr>
          <w:tblHeader w:val="true"/>
          <w:cantSplit w:val="true"/>
        </w:trPr>
        <w:tc>
          <w:tcPr>
            <w:tcW w:w="255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18"/>
              </w:rPr>
              <w:t>模型</w:t>
            </w:r>
          </w:p>
        </w:tc>
        <w:tc>
          <w:tcPr>
            <w:tcW w:w="2268"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MAE</w:t>
            </w:r>
          </w:p>
        </w:tc>
        <w:tc>
          <w:tcPr>
            <w:tcW w:w="2267"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QS</w:t>
            </w:r>
          </w:p>
        </w:tc>
        <w:tc>
          <w:tcPr>
            <w:tcW w:w="1871"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b/>
                <w:color w:val="000000"/>
                <w:sz w:val="18"/>
              </w:rPr>
              <w:t>RMSE</w:t>
            </w:r>
          </w:p>
        </w:tc>
      </w:tr>
      <w:tr>
        <w:trPr>
          <w:cantSplit w:val="true"/>
        </w:trPr>
        <w:tc>
          <w:tcPr>
            <w:tcW w:w="2551" w:type="dxa"/>
            <w:tcBorders/>
            <w:vAlign w:val="center"/>
          </w:tcPr>
          <w:p>
            <w:pPr>
              <w:pStyle w:val="Normal"/>
              <w:keepNext w:val="true"/>
              <w:widowControl w:val="false"/>
              <w:spacing w:lineRule="auto" w:line="264" w:before="40" w:after="40"/>
              <w:ind w:hanging="0"/>
              <w:rPr/>
            </w:pPr>
            <w:r>
              <w:rPr>
                <w:b w:val="false"/>
                <w:color w:val="000000"/>
                <w:sz w:val="18"/>
              </w:rPr>
              <w:t>baseline_no_fields</w:t>
            </w:r>
          </w:p>
        </w:tc>
        <w:tc>
          <w:tcPr>
            <w:tcW w:w="2268" w:type="dxa"/>
            <w:tcBorders/>
            <w:vAlign w:val="center"/>
          </w:tcPr>
          <w:p>
            <w:pPr>
              <w:pStyle w:val="Normal"/>
              <w:keepNext w:val="true"/>
              <w:widowControl w:val="false"/>
              <w:spacing w:lineRule="auto" w:line="264" w:before="40" w:after="40"/>
              <w:ind w:hanging="0"/>
              <w:rPr/>
            </w:pPr>
            <w:r>
              <w:rPr>
                <w:b w:val="false"/>
                <w:color w:val="000000"/>
                <w:sz w:val="18"/>
              </w:rPr>
              <w:t>47.224 ± 0.503</w:t>
            </w:r>
          </w:p>
        </w:tc>
        <w:tc>
          <w:tcPr>
            <w:tcW w:w="2267" w:type="dxa"/>
            <w:tcBorders/>
            <w:vAlign w:val="center"/>
          </w:tcPr>
          <w:p>
            <w:pPr>
              <w:pStyle w:val="Normal"/>
              <w:keepNext w:val="true"/>
              <w:widowControl w:val="false"/>
              <w:spacing w:lineRule="auto" w:line="264" w:before="40" w:after="40"/>
              <w:ind w:hanging="0"/>
              <w:rPr/>
            </w:pPr>
            <w:r>
              <w:rPr>
                <w:b w:val="false"/>
                <w:color w:val="000000"/>
                <w:sz w:val="18"/>
              </w:rPr>
              <w:t>28.488 ± 0.678</w:t>
            </w:r>
          </w:p>
        </w:tc>
        <w:tc>
          <w:tcPr>
            <w:tcW w:w="1871" w:type="dxa"/>
            <w:tcBorders/>
            <w:vAlign w:val="center"/>
          </w:tcPr>
          <w:p>
            <w:pPr>
              <w:pStyle w:val="Normal"/>
              <w:keepNext w:val="true"/>
              <w:widowControl w:val="false"/>
              <w:spacing w:lineRule="auto" w:line="264" w:before="40" w:after="40"/>
              <w:ind w:hanging="0"/>
              <w:rPr/>
            </w:pPr>
            <w:r>
              <w:rPr>
                <w:b w:val="false"/>
                <w:color w:val="000000"/>
                <w:sz w:val="18"/>
              </w:rPr>
              <w:t>268.460</w:t>
            </w:r>
          </w:p>
        </w:tc>
      </w:tr>
      <w:tr>
        <w:trPr>
          <w:cantSplit w:val="true"/>
        </w:trPr>
        <w:tc>
          <w:tcPr>
            <w:tcW w:w="255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baseline_full</w:t>
            </w:r>
          </w:p>
        </w:tc>
        <w:tc>
          <w:tcPr>
            <w:tcW w:w="226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48.464 ± 0.645</w:t>
            </w:r>
          </w:p>
        </w:tc>
        <w:tc>
          <w:tcPr>
            <w:tcW w:w="2267"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28.506 ± 0.211</w:t>
            </w:r>
          </w:p>
        </w:tc>
        <w:tc>
          <w:tcPr>
            <w:tcW w:w="187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271.053</w:t>
            </w:r>
          </w:p>
        </w:tc>
      </w:tr>
    </w:tbl>
    <w:p>
      <w:pPr>
        <w:pStyle w:val="Normal"/>
        <w:spacing w:before="0" w:after="0"/>
        <w:rPr/>
      </w:pPr>
      <w:r>
        <w:rPr/>
      </w:r>
    </w:p>
    <w:p>
      <w:pPr>
        <w:pStyle w:val="Caption1"/>
        <w:keepNext w:val="true"/>
        <w:rPr/>
      </w:pPr>
      <w:r>
        <w:rPr/>
        <w:t>表</w:t>
      </w:r>
      <w:r>
        <w:rPr/>
        <w:t xml:space="preserve">A-2  </w:t>
      </w:r>
      <w:r>
        <w:rPr/>
        <w:t>全部输出的价格分层</w:t>
      </w:r>
      <w:r>
        <w:rPr/>
        <w:t>MAE</w:t>
      </w:r>
    </w:p>
    <w:tbl>
      <w:tblPr>
        <w:tblW w:w="895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21"/>
        <w:gridCol w:w="1558"/>
        <w:gridCol w:w="1560"/>
        <w:gridCol w:w="1558"/>
        <w:gridCol w:w="1560"/>
      </w:tblGrid>
      <w:tr>
        <w:trPr>
          <w:tblHeader w:val="true"/>
          <w:cantSplit w:val="true"/>
        </w:trPr>
        <w:tc>
          <w:tcPr>
            <w:tcW w:w="2721"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模型</w:t>
            </w:r>
            <w:r>
              <w:rPr>
                <w:b/>
                <w:color w:val="000000"/>
                <w:sz w:val="18"/>
              </w:rPr>
              <w:t>/</w:t>
            </w:r>
            <w:r>
              <w:rPr>
                <w:rFonts w:ascii="Times New Roman" w:hAnsi="Times New Roman"/>
                <w:b/>
                <w:color w:val="000000"/>
                <w:sz w:val="18"/>
              </w:rPr>
              <w:t>输出</w:t>
            </w:r>
          </w:p>
        </w:tc>
        <w:tc>
          <w:tcPr>
            <w:tcW w:w="1558"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负价</w:t>
            </w:r>
            <w:r>
              <w:rPr>
                <w:b/>
                <w:color w:val="000000"/>
                <w:sz w:val="18"/>
              </w:rPr>
              <w:t>&lt;0</w:t>
            </w:r>
          </w:p>
        </w:tc>
        <w:tc>
          <w:tcPr>
            <w:tcW w:w="1560"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常态</w:t>
            </w:r>
            <w:r>
              <w:rPr>
                <w:b/>
                <w:color w:val="000000"/>
                <w:sz w:val="18"/>
              </w:rPr>
              <w:t>0–300</w:t>
            </w:r>
          </w:p>
        </w:tc>
        <w:tc>
          <w:tcPr>
            <w:tcW w:w="1558"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高价</w:t>
            </w:r>
            <w:r>
              <w:rPr>
                <w:b/>
                <w:color w:val="000000"/>
                <w:sz w:val="18"/>
              </w:rPr>
              <w:t>&gt;300</w:t>
            </w:r>
          </w:p>
        </w:tc>
        <w:tc>
          <w:tcPr>
            <w:tcW w:w="1560" w:type="dxa"/>
            <w:tcBorders>
              <w:top w:val="single" w:sz="10" w:space="0" w:color="000000"/>
              <w:bottom w:val="single" w:sz="6" w:space="0" w:color="000000"/>
            </w:tcBorders>
            <w:vAlign w:val="center"/>
          </w:tcPr>
          <w:p>
            <w:pPr>
              <w:pStyle w:val="Normal"/>
              <w:widowControl w:val="false"/>
              <w:spacing w:lineRule="auto" w:line="264" w:before="40" w:after="40"/>
              <w:ind w:hanging="0"/>
              <w:rPr/>
            </w:pPr>
            <w:r>
              <w:rPr>
                <w:rFonts w:ascii="Times New Roman" w:hAnsi="Times New Roman"/>
                <w:b/>
                <w:color w:val="000000"/>
                <w:sz w:val="18"/>
              </w:rPr>
              <w:t>极端</w:t>
            </w:r>
            <w:r>
              <w:rPr>
                <w:b/>
                <w:color w:val="000000"/>
                <w:sz w:val="18"/>
              </w:rPr>
              <w:t>&gt;1000</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LightGBM</w:t>
            </w:r>
          </w:p>
        </w:tc>
        <w:tc>
          <w:tcPr>
            <w:tcW w:w="1558" w:type="dxa"/>
            <w:tcBorders/>
            <w:vAlign w:val="center"/>
          </w:tcPr>
          <w:p>
            <w:pPr>
              <w:pStyle w:val="Normal"/>
              <w:widowControl w:val="false"/>
              <w:spacing w:lineRule="auto" w:line="264" w:before="40" w:after="40"/>
              <w:ind w:hanging="0"/>
              <w:rPr/>
            </w:pPr>
            <w:r>
              <w:rPr>
                <w:b w:val="false"/>
                <w:color w:val="000000"/>
                <w:sz w:val="18"/>
              </w:rPr>
              <w:t>30.618</w:t>
            </w:r>
          </w:p>
        </w:tc>
        <w:tc>
          <w:tcPr>
            <w:tcW w:w="1560" w:type="dxa"/>
            <w:tcBorders/>
            <w:vAlign w:val="center"/>
          </w:tcPr>
          <w:p>
            <w:pPr>
              <w:pStyle w:val="Normal"/>
              <w:widowControl w:val="false"/>
              <w:spacing w:lineRule="auto" w:line="264" w:before="40" w:after="40"/>
              <w:ind w:hanging="0"/>
              <w:rPr/>
            </w:pPr>
            <w:r>
              <w:rPr>
                <w:b w:val="false"/>
                <w:color w:val="000000"/>
                <w:sz w:val="18"/>
              </w:rPr>
              <w:t>22.822</w:t>
            </w:r>
          </w:p>
        </w:tc>
        <w:tc>
          <w:tcPr>
            <w:tcW w:w="1558" w:type="dxa"/>
            <w:tcBorders/>
            <w:vAlign w:val="center"/>
          </w:tcPr>
          <w:p>
            <w:pPr>
              <w:pStyle w:val="Normal"/>
              <w:widowControl w:val="false"/>
              <w:spacing w:lineRule="auto" w:line="264" w:before="40" w:after="40"/>
              <w:ind w:hanging="0"/>
              <w:rPr/>
            </w:pPr>
            <w:r>
              <w:rPr>
                <w:b w:val="false"/>
                <w:color w:val="000000"/>
                <w:sz w:val="18"/>
              </w:rPr>
              <w:t>988.399</w:t>
            </w:r>
          </w:p>
        </w:tc>
        <w:tc>
          <w:tcPr>
            <w:tcW w:w="1560" w:type="dxa"/>
            <w:tcBorders/>
            <w:vAlign w:val="center"/>
          </w:tcPr>
          <w:p>
            <w:pPr>
              <w:pStyle w:val="Normal"/>
              <w:widowControl w:val="false"/>
              <w:spacing w:lineRule="auto" w:line="264" w:before="40" w:after="40"/>
              <w:ind w:hanging="0"/>
              <w:rPr/>
            </w:pPr>
            <w:r>
              <w:rPr>
                <w:b w:val="false"/>
                <w:color w:val="000000"/>
                <w:sz w:val="18"/>
              </w:rPr>
              <w:t>3472.494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LightGBM+CP</w:t>
            </w:r>
          </w:p>
        </w:tc>
        <w:tc>
          <w:tcPr>
            <w:tcW w:w="1558" w:type="dxa"/>
            <w:tcBorders/>
            <w:vAlign w:val="center"/>
          </w:tcPr>
          <w:p>
            <w:pPr>
              <w:pStyle w:val="Normal"/>
              <w:widowControl w:val="false"/>
              <w:spacing w:lineRule="auto" w:line="264" w:before="40" w:after="40"/>
              <w:ind w:hanging="0"/>
              <w:rPr/>
            </w:pPr>
            <w:r>
              <w:rPr>
                <w:b w:val="false"/>
                <w:color w:val="000000"/>
                <w:sz w:val="18"/>
              </w:rPr>
              <w:t>30.618</w:t>
            </w:r>
          </w:p>
        </w:tc>
        <w:tc>
          <w:tcPr>
            <w:tcW w:w="1560" w:type="dxa"/>
            <w:tcBorders/>
            <w:vAlign w:val="center"/>
          </w:tcPr>
          <w:p>
            <w:pPr>
              <w:pStyle w:val="Normal"/>
              <w:widowControl w:val="false"/>
              <w:spacing w:lineRule="auto" w:line="264" w:before="40" w:after="40"/>
              <w:ind w:hanging="0"/>
              <w:rPr/>
            </w:pPr>
            <w:r>
              <w:rPr>
                <w:b w:val="false"/>
                <w:color w:val="000000"/>
                <w:sz w:val="18"/>
              </w:rPr>
              <w:t>22.822</w:t>
            </w:r>
          </w:p>
        </w:tc>
        <w:tc>
          <w:tcPr>
            <w:tcW w:w="1558" w:type="dxa"/>
            <w:tcBorders/>
            <w:vAlign w:val="center"/>
          </w:tcPr>
          <w:p>
            <w:pPr>
              <w:pStyle w:val="Normal"/>
              <w:widowControl w:val="false"/>
              <w:spacing w:lineRule="auto" w:line="264" w:before="40" w:after="40"/>
              <w:ind w:hanging="0"/>
              <w:rPr/>
            </w:pPr>
            <w:r>
              <w:rPr>
                <w:b w:val="false"/>
                <w:color w:val="000000"/>
                <w:sz w:val="18"/>
              </w:rPr>
              <w:t>988.399</w:t>
            </w:r>
          </w:p>
        </w:tc>
        <w:tc>
          <w:tcPr>
            <w:tcW w:w="1560" w:type="dxa"/>
            <w:tcBorders/>
            <w:vAlign w:val="center"/>
          </w:tcPr>
          <w:p>
            <w:pPr>
              <w:pStyle w:val="Normal"/>
              <w:widowControl w:val="false"/>
              <w:spacing w:lineRule="auto" w:line="264" w:before="40" w:after="40"/>
              <w:ind w:hanging="0"/>
              <w:rPr/>
            </w:pPr>
            <w:r>
              <w:rPr>
                <w:b w:val="false"/>
                <w:color w:val="000000"/>
                <w:sz w:val="18"/>
              </w:rPr>
              <w:t>3472.494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B_retrained</w:t>
            </w:r>
            <w:r>
              <w:rPr>
                <w:rFonts w:ascii="Times New Roman" w:hAnsi="Times New Roman"/>
                <w:b w:val="false"/>
                <w:color w:val="000000"/>
                <w:sz w:val="18"/>
              </w:rPr>
              <w:t>（固定树）</w:t>
            </w:r>
          </w:p>
        </w:tc>
        <w:tc>
          <w:tcPr>
            <w:tcW w:w="1558" w:type="dxa"/>
            <w:tcBorders/>
            <w:vAlign w:val="center"/>
          </w:tcPr>
          <w:p>
            <w:pPr>
              <w:pStyle w:val="Normal"/>
              <w:widowControl w:val="false"/>
              <w:spacing w:lineRule="auto" w:line="264" w:before="40" w:after="40"/>
              <w:ind w:hanging="0"/>
              <w:rPr/>
            </w:pPr>
            <w:r>
              <w:rPr>
                <w:b w:val="false"/>
                <w:color w:val="000000"/>
                <w:sz w:val="18"/>
              </w:rPr>
              <w:t>30.697</w:t>
            </w:r>
          </w:p>
        </w:tc>
        <w:tc>
          <w:tcPr>
            <w:tcW w:w="1560" w:type="dxa"/>
            <w:tcBorders/>
            <w:vAlign w:val="center"/>
          </w:tcPr>
          <w:p>
            <w:pPr>
              <w:pStyle w:val="Normal"/>
              <w:widowControl w:val="false"/>
              <w:spacing w:lineRule="auto" w:line="264" w:before="40" w:after="40"/>
              <w:ind w:hanging="0"/>
              <w:rPr/>
            </w:pPr>
            <w:r>
              <w:rPr>
                <w:b w:val="false"/>
                <w:color w:val="000000"/>
                <w:sz w:val="18"/>
              </w:rPr>
              <w:t>22.815</w:t>
            </w:r>
          </w:p>
        </w:tc>
        <w:tc>
          <w:tcPr>
            <w:tcW w:w="1558" w:type="dxa"/>
            <w:tcBorders/>
            <w:vAlign w:val="center"/>
          </w:tcPr>
          <w:p>
            <w:pPr>
              <w:pStyle w:val="Normal"/>
              <w:widowControl w:val="false"/>
              <w:spacing w:lineRule="auto" w:line="264" w:before="40" w:after="40"/>
              <w:ind w:hanging="0"/>
              <w:rPr/>
            </w:pPr>
            <w:r>
              <w:rPr>
                <w:b w:val="false"/>
                <w:color w:val="000000"/>
                <w:sz w:val="18"/>
              </w:rPr>
              <w:t>988.583</w:t>
            </w:r>
          </w:p>
        </w:tc>
        <w:tc>
          <w:tcPr>
            <w:tcW w:w="1560" w:type="dxa"/>
            <w:tcBorders/>
            <w:vAlign w:val="center"/>
          </w:tcPr>
          <w:p>
            <w:pPr>
              <w:pStyle w:val="Normal"/>
              <w:widowControl w:val="false"/>
              <w:spacing w:lineRule="auto" w:line="264" w:before="40" w:after="40"/>
              <w:ind w:hanging="0"/>
              <w:rPr/>
            </w:pPr>
            <w:r>
              <w:rPr>
                <w:b w:val="false"/>
                <w:color w:val="000000"/>
                <w:sz w:val="18"/>
              </w:rPr>
              <w:t>3473.076</w:t>
            </w:r>
          </w:p>
        </w:tc>
      </w:tr>
      <w:tr>
        <w:trPr>
          <w:cantSplit w:val="true"/>
        </w:trPr>
        <w:tc>
          <w:tcPr>
            <w:tcW w:w="2721" w:type="dxa"/>
            <w:tcBorders/>
            <w:vAlign w:val="center"/>
          </w:tcPr>
          <w:p>
            <w:pPr>
              <w:pStyle w:val="Normal"/>
              <w:widowControl w:val="false"/>
              <w:spacing w:lineRule="auto" w:line="264" w:before="40" w:after="40"/>
              <w:ind w:hanging="0"/>
              <w:rPr/>
            </w:pPr>
            <w:r>
              <w:rPr>
                <w:rFonts w:ascii="Times New Roman" w:hAnsi="Times New Roman"/>
                <w:b w:val="false"/>
                <w:color w:val="000000"/>
                <w:sz w:val="18"/>
              </w:rPr>
              <w:t>关闭事件项</w:t>
            </w:r>
          </w:p>
        </w:tc>
        <w:tc>
          <w:tcPr>
            <w:tcW w:w="1558" w:type="dxa"/>
            <w:tcBorders/>
            <w:vAlign w:val="center"/>
          </w:tcPr>
          <w:p>
            <w:pPr>
              <w:pStyle w:val="Normal"/>
              <w:widowControl w:val="false"/>
              <w:spacing w:lineRule="auto" w:line="264" w:before="40" w:after="40"/>
              <w:ind w:hanging="0"/>
              <w:rPr/>
            </w:pPr>
            <w:r>
              <w:rPr>
                <w:b w:val="false"/>
                <w:color w:val="000000"/>
                <w:sz w:val="18"/>
              </w:rPr>
              <w:t>28.542</w:t>
            </w:r>
          </w:p>
        </w:tc>
        <w:tc>
          <w:tcPr>
            <w:tcW w:w="1560" w:type="dxa"/>
            <w:tcBorders/>
            <w:vAlign w:val="center"/>
          </w:tcPr>
          <w:p>
            <w:pPr>
              <w:pStyle w:val="Normal"/>
              <w:widowControl w:val="false"/>
              <w:spacing w:lineRule="auto" w:line="264" w:before="40" w:after="40"/>
              <w:ind w:hanging="0"/>
              <w:rPr/>
            </w:pPr>
            <w:r>
              <w:rPr>
                <w:b w:val="false"/>
                <w:color w:val="000000"/>
                <w:sz w:val="18"/>
              </w:rPr>
              <w:t>23.857</w:t>
            </w:r>
          </w:p>
        </w:tc>
        <w:tc>
          <w:tcPr>
            <w:tcW w:w="1558" w:type="dxa"/>
            <w:tcBorders/>
            <w:vAlign w:val="center"/>
          </w:tcPr>
          <w:p>
            <w:pPr>
              <w:pStyle w:val="Normal"/>
              <w:widowControl w:val="false"/>
              <w:spacing w:lineRule="auto" w:line="264" w:before="40" w:after="40"/>
              <w:ind w:hanging="0"/>
              <w:rPr/>
            </w:pPr>
            <w:r>
              <w:rPr>
                <w:b w:val="false"/>
                <w:color w:val="000000"/>
                <w:sz w:val="18"/>
              </w:rPr>
              <w:t>970.853</w:t>
            </w:r>
          </w:p>
        </w:tc>
        <w:tc>
          <w:tcPr>
            <w:tcW w:w="1560" w:type="dxa"/>
            <w:tcBorders/>
            <w:vAlign w:val="center"/>
          </w:tcPr>
          <w:p>
            <w:pPr>
              <w:pStyle w:val="Normal"/>
              <w:widowControl w:val="false"/>
              <w:spacing w:lineRule="auto" w:line="264" w:before="40" w:after="40"/>
              <w:ind w:hanging="0"/>
              <w:rPr/>
            </w:pPr>
            <w:r>
              <w:rPr>
                <w:b w:val="false"/>
                <w:color w:val="000000"/>
                <w:sz w:val="18"/>
              </w:rPr>
              <w:t>3453.244</w:t>
            </w:r>
          </w:p>
        </w:tc>
      </w:tr>
      <w:tr>
        <w:trPr>
          <w:cantSplit w:val="true"/>
        </w:trPr>
        <w:tc>
          <w:tcPr>
            <w:tcW w:w="2721" w:type="dxa"/>
            <w:tcBorders/>
            <w:vAlign w:val="center"/>
          </w:tcPr>
          <w:p>
            <w:pPr>
              <w:pStyle w:val="Normal"/>
              <w:widowControl w:val="false"/>
              <w:spacing w:lineRule="auto" w:line="264" w:before="40" w:after="40"/>
              <w:ind w:hanging="0"/>
              <w:rPr/>
            </w:pPr>
            <w:r>
              <w:rPr>
                <w:rFonts w:ascii="Times New Roman" w:hAnsi="Times New Roman"/>
                <w:b w:val="false"/>
                <w:color w:val="000000"/>
                <w:sz w:val="18"/>
              </w:rPr>
              <w:t>关闭时间移动</w:t>
            </w:r>
          </w:p>
        </w:tc>
        <w:tc>
          <w:tcPr>
            <w:tcW w:w="1558" w:type="dxa"/>
            <w:tcBorders/>
            <w:vAlign w:val="center"/>
          </w:tcPr>
          <w:p>
            <w:pPr>
              <w:pStyle w:val="Normal"/>
              <w:widowControl w:val="false"/>
              <w:spacing w:lineRule="auto" w:line="264" w:before="40" w:after="40"/>
              <w:ind w:hanging="0"/>
              <w:rPr/>
            </w:pPr>
            <w:r>
              <w:rPr>
                <w:b w:val="false"/>
                <w:color w:val="000000"/>
                <w:sz w:val="18"/>
              </w:rPr>
              <w:t>28.550</w:t>
            </w:r>
          </w:p>
        </w:tc>
        <w:tc>
          <w:tcPr>
            <w:tcW w:w="1560" w:type="dxa"/>
            <w:tcBorders/>
            <w:vAlign w:val="center"/>
          </w:tcPr>
          <w:p>
            <w:pPr>
              <w:pStyle w:val="Normal"/>
              <w:widowControl w:val="false"/>
              <w:spacing w:lineRule="auto" w:line="264" w:before="40" w:after="40"/>
              <w:ind w:hanging="0"/>
              <w:rPr/>
            </w:pPr>
            <w:r>
              <w:rPr>
                <w:b w:val="false"/>
                <w:color w:val="000000"/>
                <w:sz w:val="18"/>
              </w:rPr>
              <w:t>23.971</w:t>
            </w:r>
          </w:p>
        </w:tc>
        <w:tc>
          <w:tcPr>
            <w:tcW w:w="1558" w:type="dxa"/>
            <w:tcBorders/>
            <w:vAlign w:val="center"/>
          </w:tcPr>
          <w:p>
            <w:pPr>
              <w:pStyle w:val="Normal"/>
              <w:widowControl w:val="false"/>
              <w:spacing w:lineRule="auto" w:line="264" w:before="40" w:after="40"/>
              <w:ind w:hanging="0"/>
              <w:rPr/>
            </w:pPr>
            <w:r>
              <w:rPr>
                <w:b w:val="false"/>
                <w:color w:val="000000"/>
                <w:sz w:val="18"/>
              </w:rPr>
              <w:t>966.239</w:t>
            </w:r>
          </w:p>
        </w:tc>
        <w:tc>
          <w:tcPr>
            <w:tcW w:w="1560" w:type="dxa"/>
            <w:tcBorders/>
            <w:vAlign w:val="center"/>
          </w:tcPr>
          <w:p>
            <w:pPr>
              <w:pStyle w:val="Normal"/>
              <w:widowControl w:val="false"/>
              <w:spacing w:lineRule="auto" w:line="264" w:before="40" w:after="40"/>
              <w:ind w:hanging="0"/>
              <w:rPr/>
            </w:pPr>
            <w:r>
              <w:rPr>
                <w:b w:val="false"/>
                <w:color w:val="000000"/>
                <w:sz w:val="18"/>
              </w:rPr>
              <w:t>3440.345</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Full_joint</w:t>
            </w:r>
            <w:r>
              <w:rPr>
                <w:rFonts w:ascii="Times New Roman" w:hAnsi="Times New Roman"/>
                <w:b w:val="false"/>
                <w:color w:val="000000"/>
                <w:sz w:val="18"/>
              </w:rPr>
              <w:t>（当前方法）</w:t>
            </w:r>
          </w:p>
        </w:tc>
        <w:tc>
          <w:tcPr>
            <w:tcW w:w="1558" w:type="dxa"/>
            <w:tcBorders/>
            <w:vAlign w:val="center"/>
          </w:tcPr>
          <w:p>
            <w:pPr>
              <w:pStyle w:val="Normal"/>
              <w:widowControl w:val="false"/>
              <w:spacing w:lineRule="auto" w:line="264" w:before="40" w:after="40"/>
              <w:ind w:hanging="0"/>
              <w:rPr/>
            </w:pPr>
            <w:r>
              <w:rPr>
                <w:b w:val="false"/>
                <w:color w:val="000000"/>
                <w:sz w:val="18"/>
              </w:rPr>
              <w:t>28.540</w:t>
            </w:r>
          </w:p>
        </w:tc>
        <w:tc>
          <w:tcPr>
            <w:tcW w:w="1560" w:type="dxa"/>
            <w:tcBorders/>
            <w:vAlign w:val="center"/>
          </w:tcPr>
          <w:p>
            <w:pPr>
              <w:pStyle w:val="Normal"/>
              <w:widowControl w:val="false"/>
              <w:spacing w:lineRule="auto" w:line="264" w:before="40" w:after="40"/>
              <w:ind w:hanging="0"/>
              <w:rPr/>
            </w:pPr>
            <w:r>
              <w:rPr>
                <w:b w:val="false"/>
                <w:color w:val="000000"/>
                <w:sz w:val="18"/>
              </w:rPr>
              <w:t>23.948</w:t>
            </w:r>
          </w:p>
        </w:tc>
        <w:tc>
          <w:tcPr>
            <w:tcW w:w="1558" w:type="dxa"/>
            <w:tcBorders/>
            <w:vAlign w:val="center"/>
          </w:tcPr>
          <w:p>
            <w:pPr>
              <w:pStyle w:val="Normal"/>
              <w:widowControl w:val="false"/>
              <w:spacing w:lineRule="auto" w:line="264" w:before="40" w:after="40"/>
              <w:ind w:hanging="0"/>
              <w:rPr/>
            </w:pPr>
            <w:r>
              <w:rPr>
                <w:b w:val="false"/>
                <w:color w:val="000000"/>
                <w:sz w:val="18"/>
              </w:rPr>
              <w:t>967.603</w:t>
            </w:r>
          </w:p>
        </w:tc>
        <w:tc>
          <w:tcPr>
            <w:tcW w:w="1560" w:type="dxa"/>
            <w:tcBorders/>
            <w:vAlign w:val="center"/>
          </w:tcPr>
          <w:p>
            <w:pPr>
              <w:pStyle w:val="Normal"/>
              <w:widowControl w:val="false"/>
              <w:spacing w:lineRule="auto" w:line="264" w:before="40" w:after="40"/>
              <w:ind w:hanging="0"/>
              <w:rPr/>
            </w:pPr>
            <w:r>
              <w:rPr>
                <w:b w:val="false"/>
                <w:color w:val="000000"/>
                <w:sz w:val="18"/>
              </w:rPr>
              <w:t>3444.268</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Anchor_joint</w:t>
            </w:r>
          </w:p>
        </w:tc>
        <w:tc>
          <w:tcPr>
            <w:tcW w:w="1558" w:type="dxa"/>
            <w:tcBorders/>
            <w:vAlign w:val="center"/>
          </w:tcPr>
          <w:p>
            <w:pPr>
              <w:pStyle w:val="Normal"/>
              <w:widowControl w:val="false"/>
              <w:spacing w:lineRule="auto" w:line="264" w:before="40" w:after="40"/>
              <w:ind w:hanging="0"/>
              <w:rPr/>
            </w:pPr>
            <w:r>
              <w:rPr>
                <w:b w:val="false"/>
                <w:color w:val="000000"/>
                <w:sz w:val="18"/>
              </w:rPr>
              <w:t>29.002</w:t>
            </w:r>
          </w:p>
        </w:tc>
        <w:tc>
          <w:tcPr>
            <w:tcW w:w="1560" w:type="dxa"/>
            <w:tcBorders/>
            <w:vAlign w:val="center"/>
          </w:tcPr>
          <w:p>
            <w:pPr>
              <w:pStyle w:val="Normal"/>
              <w:widowControl w:val="false"/>
              <w:spacing w:lineRule="auto" w:line="264" w:before="40" w:after="40"/>
              <w:ind w:hanging="0"/>
              <w:rPr/>
            </w:pPr>
            <w:r>
              <w:rPr>
                <w:b w:val="false"/>
                <w:color w:val="000000"/>
                <w:sz w:val="18"/>
              </w:rPr>
              <w:t>23.969</w:t>
            </w:r>
          </w:p>
        </w:tc>
        <w:tc>
          <w:tcPr>
            <w:tcW w:w="1558" w:type="dxa"/>
            <w:tcBorders/>
            <w:vAlign w:val="center"/>
          </w:tcPr>
          <w:p>
            <w:pPr>
              <w:pStyle w:val="Normal"/>
              <w:widowControl w:val="false"/>
              <w:spacing w:lineRule="auto" w:line="264" w:before="40" w:after="40"/>
              <w:ind w:hanging="0"/>
              <w:rPr/>
            </w:pPr>
            <w:r>
              <w:rPr>
                <w:b w:val="false"/>
                <w:color w:val="000000"/>
                <w:sz w:val="18"/>
              </w:rPr>
              <w:t>970.668</w:t>
            </w:r>
          </w:p>
        </w:tc>
        <w:tc>
          <w:tcPr>
            <w:tcW w:w="1560" w:type="dxa"/>
            <w:tcBorders/>
            <w:vAlign w:val="center"/>
          </w:tcPr>
          <w:p>
            <w:pPr>
              <w:pStyle w:val="Normal"/>
              <w:widowControl w:val="false"/>
              <w:spacing w:lineRule="auto" w:line="264" w:before="40" w:after="40"/>
              <w:ind w:hanging="0"/>
              <w:rPr/>
            </w:pPr>
            <w:r>
              <w:rPr>
                <w:b w:val="false"/>
                <w:color w:val="000000"/>
                <w:sz w:val="18"/>
              </w:rPr>
              <w:t>3453.017</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Full_joint_raw</w:t>
            </w:r>
          </w:p>
        </w:tc>
        <w:tc>
          <w:tcPr>
            <w:tcW w:w="1558" w:type="dxa"/>
            <w:tcBorders/>
            <w:vAlign w:val="center"/>
          </w:tcPr>
          <w:p>
            <w:pPr>
              <w:pStyle w:val="Normal"/>
              <w:widowControl w:val="false"/>
              <w:spacing w:lineRule="auto" w:line="264" w:before="40" w:after="40"/>
              <w:ind w:hanging="0"/>
              <w:rPr/>
            </w:pPr>
            <w:r>
              <w:rPr>
                <w:b w:val="false"/>
                <w:color w:val="000000"/>
                <w:sz w:val="18"/>
              </w:rPr>
              <w:t>27.995</w:t>
            </w:r>
          </w:p>
        </w:tc>
        <w:tc>
          <w:tcPr>
            <w:tcW w:w="1560" w:type="dxa"/>
            <w:tcBorders/>
            <w:vAlign w:val="center"/>
          </w:tcPr>
          <w:p>
            <w:pPr>
              <w:pStyle w:val="Normal"/>
              <w:widowControl w:val="false"/>
              <w:spacing w:lineRule="auto" w:line="264" w:before="40" w:after="40"/>
              <w:ind w:hanging="0"/>
              <w:rPr/>
            </w:pPr>
            <w:r>
              <w:rPr>
                <w:b w:val="false"/>
                <w:color w:val="000000"/>
                <w:sz w:val="18"/>
              </w:rPr>
              <w:t>24.150</w:t>
            </w:r>
          </w:p>
        </w:tc>
        <w:tc>
          <w:tcPr>
            <w:tcW w:w="1558" w:type="dxa"/>
            <w:tcBorders/>
            <w:vAlign w:val="center"/>
          </w:tcPr>
          <w:p>
            <w:pPr>
              <w:pStyle w:val="Normal"/>
              <w:widowControl w:val="false"/>
              <w:spacing w:lineRule="auto" w:line="264" w:before="40" w:after="40"/>
              <w:ind w:hanging="0"/>
              <w:rPr/>
            </w:pPr>
            <w:r>
              <w:rPr>
                <w:b w:val="false"/>
                <w:color w:val="000000"/>
                <w:sz w:val="18"/>
              </w:rPr>
              <w:t>967.824</w:t>
            </w:r>
          </w:p>
        </w:tc>
        <w:tc>
          <w:tcPr>
            <w:tcW w:w="1560" w:type="dxa"/>
            <w:tcBorders/>
            <w:vAlign w:val="center"/>
          </w:tcPr>
          <w:p>
            <w:pPr>
              <w:pStyle w:val="Normal"/>
              <w:widowControl w:val="false"/>
              <w:spacing w:lineRule="auto" w:line="264" w:before="40" w:after="40"/>
              <w:ind w:hanging="0"/>
              <w:rPr/>
            </w:pPr>
            <w:r>
              <w:rPr>
                <w:b w:val="false"/>
                <w:color w:val="000000"/>
                <w:sz w:val="18"/>
              </w:rPr>
              <w:t>3444.545</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XGBoost</w:t>
            </w:r>
          </w:p>
        </w:tc>
        <w:tc>
          <w:tcPr>
            <w:tcW w:w="1558" w:type="dxa"/>
            <w:tcBorders/>
            <w:vAlign w:val="center"/>
          </w:tcPr>
          <w:p>
            <w:pPr>
              <w:pStyle w:val="Normal"/>
              <w:widowControl w:val="false"/>
              <w:spacing w:lineRule="auto" w:line="264" w:before="40" w:after="40"/>
              <w:ind w:hanging="0"/>
              <w:rPr/>
            </w:pPr>
            <w:r>
              <w:rPr>
                <w:b w:val="false"/>
                <w:color w:val="000000"/>
                <w:sz w:val="18"/>
              </w:rPr>
              <w:t>35.720</w:t>
            </w:r>
          </w:p>
        </w:tc>
        <w:tc>
          <w:tcPr>
            <w:tcW w:w="1560" w:type="dxa"/>
            <w:tcBorders/>
            <w:vAlign w:val="center"/>
          </w:tcPr>
          <w:p>
            <w:pPr>
              <w:pStyle w:val="Normal"/>
              <w:widowControl w:val="false"/>
              <w:spacing w:lineRule="auto" w:line="264" w:before="40" w:after="40"/>
              <w:ind w:hanging="0"/>
              <w:rPr/>
            </w:pPr>
            <w:r>
              <w:rPr>
                <w:b w:val="false"/>
                <w:color w:val="000000"/>
                <w:sz w:val="18"/>
              </w:rPr>
              <w:t>23.141</w:t>
            </w:r>
          </w:p>
        </w:tc>
        <w:tc>
          <w:tcPr>
            <w:tcW w:w="1558" w:type="dxa"/>
            <w:tcBorders/>
            <w:vAlign w:val="center"/>
          </w:tcPr>
          <w:p>
            <w:pPr>
              <w:pStyle w:val="Normal"/>
              <w:widowControl w:val="false"/>
              <w:spacing w:lineRule="auto" w:line="264" w:before="40" w:after="40"/>
              <w:ind w:hanging="0"/>
              <w:rPr/>
            </w:pPr>
            <w:r>
              <w:rPr>
                <w:b w:val="false"/>
                <w:color w:val="000000"/>
                <w:sz w:val="18"/>
              </w:rPr>
              <w:t>993.813</w:t>
            </w:r>
          </w:p>
        </w:tc>
        <w:tc>
          <w:tcPr>
            <w:tcW w:w="1560" w:type="dxa"/>
            <w:tcBorders/>
            <w:vAlign w:val="center"/>
          </w:tcPr>
          <w:p>
            <w:pPr>
              <w:pStyle w:val="Normal"/>
              <w:widowControl w:val="false"/>
              <w:spacing w:lineRule="auto" w:line="264" w:before="40" w:after="40"/>
              <w:ind w:hanging="0"/>
              <w:rPr/>
            </w:pPr>
            <w:r>
              <w:rPr>
                <w:b w:val="false"/>
                <w:color w:val="000000"/>
                <w:sz w:val="18"/>
              </w:rPr>
              <w:t>3478.080</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XGBoost+CP</w:t>
            </w:r>
          </w:p>
        </w:tc>
        <w:tc>
          <w:tcPr>
            <w:tcW w:w="1558" w:type="dxa"/>
            <w:tcBorders/>
            <w:vAlign w:val="center"/>
          </w:tcPr>
          <w:p>
            <w:pPr>
              <w:pStyle w:val="Normal"/>
              <w:widowControl w:val="false"/>
              <w:spacing w:lineRule="auto" w:line="264" w:before="40" w:after="40"/>
              <w:ind w:hanging="0"/>
              <w:rPr/>
            </w:pPr>
            <w:r>
              <w:rPr>
                <w:b w:val="false"/>
                <w:color w:val="000000"/>
                <w:sz w:val="18"/>
              </w:rPr>
              <w:t>35.720</w:t>
            </w:r>
          </w:p>
        </w:tc>
        <w:tc>
          <w:tcPr>
            <w:tcW w:w="1560" w:type="dxa"/>
            <w:tcBorders/>
            <w:vAlign w:val="center"/>
          </w:tcPr>
          <w:p>
            <w:pPr>
              <w:pStyle w:val="Normal"/>
              <w:widowControl w:val="false"/>
              <w:spacing w:lineRule="auto" w:line="264" w:before="40" w:after="40"/>
              <w:ind w:hanging="0"/>
              <w:rPr/>
            </w:pPr>
            <w:r>
              <w:rPr>
                <w:b w:val="false"/>
                <w:color w:val="000000"/>
                <w:sz w:val="18"/>
              </w:rPr>
              <w:t>23.141</w:t>
            </w:r>
          </w:p>
        </w:tc>
        <w:tc>
          <w:tcPr>
            <w:tcW w:w="1558" w:type="dxa"/>
            <w:tcBorders/>
            <w:vAlign w:val="center"/>
          </w:tcPr>
          <w:p>
            <w:pPr>
              <w:pStyle w:val="Normal"/>
              <w:widowControl w:val="false"/>
              <w:spacing w:lineRule="auto" w:line="264" w:before="40" w:after="40"/>
              <w:ind w:hanging="0"/>
              <w:rPr/>
            </w:pPr>
            <w:r>
              <w:rPr>
                <w:b w:val="false"/>
                <w:color w:val="000000"/>
                <w:sz w:val="18"/>
              </w:rPr>
              <w:t>993.813</w:t>
            </w:r>
          </w:p>
        </w:tc>
        <w:tc>
          <w:tcPr>
            <w:tcW w:w="1560" w:type="dxa"/>
            <w:tcBorders/>
            <w:vAlign w:val="center"/>
          </w:tcPr>
          <w:p>
            <w:pPr>
              <w:pStyle w:val="Normal"/>
              <w:widowControl w:val="false"/>
              <w:spacing w:lineRule="auto" w:line="264" w:before="40" w:after="40"/>
              <w:ind w:hanging="0"/>
              <w:rPr/>
            </w:pPr>
            <w:r>
              <w:rPr>
                <w:b w:val="false"/>
                <w:color w:val="000000"/>
                <w:sz w:val="18"/>
              </w:rPr>
              <w:t>3478.080</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LightGBM+QRA</w:t>
            </w:r>
          </w:p>
        </w:tc>
        <w:tc>
          <w:tcPr>
            <w:tcW w:w="1558" w:type="dxa"/>
            <w:tcBorders/>
            <w:vAlign w:val="center"/>
          </w:tcPr>
          <w:p>
            <w:pPr>
              <w:pStyle w:val="Normal"/>
              <w:widowControl w:val="false"/>
              <w:spacing w:lineRule="auto" w:line="264" w:before="40" w:after="40"/>
              <w:ind w:hanging="0"/>
              <w:rPr/>
            </w:pPr>
            <w:r>
              <w:rPr>
                <w:b w:val="false"/>
                <w:color w:val="000000"/>
                <w:sz w:val="18"/>
              </w:rPr>
              <w:t>34.674</w:t>
            </w:r>
          </w:p>
        </w:tc>
        <w:tc>
          <w:tcPr>
            <w:tcW w:w="1560" w:type="dxa"/>
            <w:tcBorders/>
            <w:vAlign w:val="center"/>
          </w:tcPr>
          <w:p>
            <w:pPr>
              <w:pStyle w:val="Normal"/>
              <w:widowControl w:val="false"/>
              <w:spacing w:lineRule="auto" w:line="264" w:before="40" w:after="40"/>
              <w:ind w:hanging="0"/>
              <w:rPr/>
            </w:pPr>
            <w:r>
              <w:rPr>
                <w:b w:val="false"/>
                <w:color w:val="000000"/>
                <w:sz w:val="18"/>
              </w:rPr>
              <w:t>28.652</w:t>
            </w:r>
          </w:p>
        </w:tc>
        <w:tc>
          <w:tcPr>
            <w:tcW w:w="1558" w:type="dxa"/>
            <w:tcBorders/>
            <w:vAlign w:val="center"/>
          </w:tcPr>
          <w:p>
            <w:pPr>
              <w:pStyle w:val="Normal"/>
              <w:widowControl w:val="false"/>
              <w:spacing w:lineRule="auto" w:line="264" w:before="40" w:after="40"/>
              <w:ind w:hanging="0"/>
              <w:rPr/>
            </w:pPr>
            <w:r>
              <w:rPr>
                <w:b w:val="false"/>
                <w:color w:val="000000"/>
                <w:sz w:val="18"/>
              </w:rPr>
              <w:t>914.969</w:t>
            </w:r>
          </w:p>
        </w:tc>
        <w:tc>
          <w:tcPr>
            <w:tcW w:w="1560" w:type="dxa"/>
            <w:tcBorders/>
            <w:vAlign w:val="center"/>
          </w:tcPr>
          <w:p>
            <w:pPr>
              <w:pStyle w:val="Normal"/>
              <w:widowControl w:val="false"/>
              <w:spacing w:lineRule="auto" w:line="264" w:before="40" w:after="40"/>
              <w:ind w:hanging="0"/>
              <w:rPr/>
            </w:pPr>
            <w:r>
              <w:rPr>
                <w:b w:val="false"/>
                <w:color w:val="000000"/>
                <w:sz w:val="18"/>
              </w:rPr>
              <w:t>3323.448</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TabPFN-3</w:t>
            </w:r>
          </w:p>
        </w:tc>
        <w:tc>
          <w:tcPr>
            <w:tcW w:w="1558" w:type="dxa"/>
            <w:tcBorders/>
            <w:vAlign w:val="center"/>
          </w:tcPr>
          <w:p>
            <w:pPr>
              <w:pStyle w:val="Normal"/>
              <w:widowControl w:val="false"/>
              <w:spacing w:lineRule="auto" w:line="264" w:before="40" w:after="40"/>
              <w:ind w:hanging="0"/>
              <w:rPr/>
            </w:pPr>
            <w:r>
              <w:rPr>
                <w:b w:val="false"/>
                <w:color w:val="000000"/>
                <w:sz w:val="18"/>
              </w:rPr>
              <w:t>26.610</w:t>
            </w:r>
          </w:p>
        </w:tc>
        <w:tc>
          <w:tcPr>
            <w:tcW w:w="1560" w:type="dxa"/>
            <w:tcBorders/>
            <w:vAlign w:val="center"/>
          </w:tcPr>
          <w:p>
            <w:pPr>
              <w:pStyle w:val="Normal"/>
              <w:widowControl w:val="false"/>
              <w:spacing w:lineRule="auto" w:line="264" w:before="40" w:after="40"/>
              <w:ind w:hanging="0"/>
              <w:rPr/>
            </w:pPr>
            <w:r>
              <w:rPr>
                <w:b w:val="false"/>
                <w:color w:val="000000"/>
                <w:sz w:val="18"/>
              </w:rPr>
              <w:t>31.014</w:t>
            </w:r>
          </w:p>
        </w:tc>
        <w:tc>
          <w:tcPr>
            <w:tcW w:w="1558" w:type="dxa"/>
            <w:tcBorders/>
            <w:vAlign w:val="center"/>
          </w:tcPr>
          <w:p>
            <w:pPr>
              <w:pStyle w:val="Normal"/>
              <w:widowControl w:val="false"/>
              <w:spacing w:lineRule="auto" w:line="264" w:before="40" w:after="40"/>
              <w:ind w:hanging="0"/>
              <w:rPr/>
            </w:pPr>
            <w:r>
              <w:rPr>
                <w:b w:val="false"/>
                <w:color w:val="000000"/>
                <w:sz w:val="18"/>
              </w:rPr>
              <w:t>995.987</w:t>
            </w:r>
          </w:p>
        </w:tc>
        <w:tc>
          <w:tcPr>
            <w:tcW w:w="1560" w:type="dxa"/>
            <w:tcBorders/>
            <w:vAlign w:val="center"/>
          </w:tcPr>
          <w:p>
            <w:pPr>
              <w:pStyle w:val="Normal"/>
              <w:widowControl w:val="false"/>
              <w:spacing w:lineRule="auto" w:line="264" w:before="40" w:after="40"/>
              <w:ind w:hanging="0"/>
              <w:rPr/>
            </w:pPr>
            <w:r>
              <w:rPr>
                <w:b w:val="false"/>
                <w:color w:val="000000"/>
                <w:sz w:val="18"/>
              </w:rPr>
              <w:t>3424.277</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PatchTST</w:t>
            </w:r>
          </w:p>
        </w:tc>
        <w:tc>
          <w:tcPr>
            <w:tcW w:w="1558" w:type="dxa"/>
            <w:tcBorders/>
            <w:vAlign w:val="center"/>
          </w:tcPr>
          <w:p>
            <w:pPr>
              <w:pStyle w:val="Normal"/>
              <w:widowControl w:val="false"/>
              <w:spacing w:lineRule="auto" w:line="264" w:before="40" w:after="40"/>
              <w:ind w:hanging="0"/>
              <w:rPr/>
            </w:pPr>
            <w:r>
              <w:rPr>
                <w:b w:val="false"/>
                <w:color w:val="000000"/>
                <w:sz w:val="18"/>
              </w:rPr>
              <w:t>35.529</w:t>
            </w:r>
          </w:p>
        </w:tc>
        <w:tc>
          <w:tcPr>
            <w:tcW w:w="1560" w:type="dxa"/>
            <w:tcBorders/>
            <w:vAlign w:val="center"/>
          </w:tcPr>
          <w:p>
            <w:pPr>
              <w:pStyle w:val="Normal"/>
              <w:widowControl w:val="false"/>
              <w:spacing w:lineRule="auto" w:line="264" w:before="40" w:after="40"/>
              <w:ind w:hanging="0"/>
              <w:rPr/>
            </w:pPr>
            <w:r>
              <w:rPr>
                <w:b w:val="false"/>
                <w:color w:val="000000"/>
                <w:sz w:val="18"/>
              </w:rPr>
              <w:t>31.164</w:t>
            </w:r>
          </w:p>
        </w:tc>
        <w:tc>
          <w:tcPr>
            <w:tcW w:w="1558" w:type="dxa"/>
            <w:tcBorders/>
            <w:vAlign w:val="center"/>
          </w:tcPr>
          <w:p>
            <w:pPr>
              <w:pStyle w:val="Normal"/>
              <w:widowControl w:val="false"/>
              <w:spacing w:lineRule="auto" w:line="264" w:before="40" w:after="40"/>
              <w:ind w:hanging="0"/>
              <w:rPr/>
            </w:pPr>
            <w:r>
              <w:rPr>
                <w:b w:val="false"/>
                <w:color w:val="000000"/>
                <w:sz w:val="18"/>
              </w:rPr>
              <w:t>961.069</w:t>
            </w:r>
          </w:p>
        </w:tc>
        <w:tc>
          <w:tcPr>
            <w:tcW w:w="1560" w:type="dxa"/>
            <w:tcBorders/>
            <w:vAlign w:val="center"/>
          </w:tcPr>
          <w:p>
            <w:pPr>
              <w:pStyle w:val="Normal"/>
              <w:widowControl w:val="false"/>
              <w:spacing w:lineRule="auto" w:line="264" w:before="40" w:after="40"/>
              <w:ind w:hanging="0"/>
              <w:rPr/>
            </w:pPr>
            <w:r>
              <w:rPr>
                <w:b w:val="false"/>
                <w:color w:val="000000"/>
                <w:sz w:val="18"/>
              </w:rPr>
              <w:t>3378.854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GateTS</w:t>
            </w:r>
          </w:p>
        </w:tc>
        <w:tc>
          <w:tcPr>
            <w:tcW w:w="1558" w:type="dxa"/>
            <w:tcBorders/>
            <w:vAlign w:val="center"/>
          </w:tcPr>
          <w:p>
            <w:pPr>
              <w:pStyle w:val="Normal"/>
              <w:widowControl w:val="false"/>
              <w:spacing w:lineRule="auto" w:line="264" w:before="40" w:after="40"/>
              <w:ind w:hanging="0"/>
              <w:rPr/>
            </w:pPr>
            <w:r>
              <w:rPr>
                <w:b w:val="false"/>
                <w:color w:val="000000"/>
                <w:sz w:val="18"/>
              </w:rPr>
              <w:t>42.766</w:t>
            </w:r>
          </w:p>
        </w:tc>
        <w:tc>
          <w:tcPr>
            <w:tcW w:w="1560" w:type="dxa"/>
            <w:tcBorders/>
            <w:vAlign w:val="center"/>
          </w:tcPr>
          <w:p>
            <w:pPr>
              <w:pStyle w:val="Normal"/>
              <w:widowControl w:val="false"/>
              <w:spacing w:lineRule="auto" w:line="264" w:before="40" w:after="40"/>
              <w:ind w:hanging="0"/>
              <w:rPr/>
            </w:pPr>
            <w:r>
              <w:rPr>
                <w:b w:val="false"/>
                <w:color w:val="000000"/>
                <w:sz w:val="18"/>
              </w:rPr>
              <w:t>31.735</w:t>
            </w:r>
          </w:p>
        </w:tc>
        <w:tc>
          <w:tcPr>
            <w:tcW w:w="1558" w:type="dxa"/>
            <w:tcBorders/>
            <w:vAlign w:val="center"/>
          </w:tcPr>
          <w:p>
            <w:pPr>
              <w:pStyle w:val="Normal"/>
              <w:widowControl w:val="false"/>
              <w:spacing w:lineRule="auto" w:line="264" w:before="40" w:after="40"/>
              <w:ind w:hanging="0"/>
              <w:rPr/>
            </w:pPr>
            <w:r>
              <w:rPr>
                <w:b w:val="false"/>
                <w:color w:val="000000"/>
                <w:sz w:val="18"/>
              </w:rPr>
              <w:t>977.003</w:t>
            </w:r>
          </w:p>
        </w:tc>
        <w:tc>
          <w:tcPr>
            <w:tcW w:w="1560" w:type="dxa"/>
            <w:tcBorders/>
            <w:vAlign w:val="center"/>
          </w:tcPr>
          <w:p>
            <w:pPr>
              <w:pStyle w:val="Normal"/>
              <w:widowControl w:val="false"/>
              <w:spacing w:lineRule="auto" w:line="264" w:before="40" w:after="40"/>
              <w:ind w:hanging="0"/>
              <w:rPr/>
            </w:pPr>
            <w:r>
              <w:rPr>
                <w:b w:val="false"/>
                <w:color w:val="000000"/>
                <w:sz w:val="18"/>
              </w:rPr>
              <w:t>3367.502</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TimeXer</w:t>
            </w:r>
          </w:p>
        </w:tc>
        <w:tc>
          <w:tcPr>
            <w:tcW w:w="1558" w:type="dxa"/>
            <w:tcBorders/>
            <w:vAlign w:val="center"/>
          </w:tcPr>
          <w:p>
            <w:pPr>
              <w:pStyle w:val="Normal"/>
              <w:widowControl w:val="false"/>
              <w:spacing w:lineRule="auto" w:line="264" w:before="40" w:after="40"/>
              <w:ind w:hanging="0"/>
              <w:rPr/>
            </w:pPr>
            <w:r>
              <w:rPr>
                <w:b w:val="false"/>
                <w:color w:val="000000"/>
                <w:sz w:val="18"/>
              </w:rPr>
              <w:t>46.697</w:t>
            </w:r>
          </w:p>
        </w:tc>
        <w:tc>
          <w:tcPr>
            <w:tcW w:w="1560" w:type="dxa"/>
            <w:tcBorders/>
            <w:vAlign w:val="center"/>
          </w:tcPr>
          <w:p>
            <w:pPr>
              <w:pStyle w:val="Normal"/>
              <w:widowControl w:val="false"/>
              <w:spacing w:lineRule="auto" w:line="264" w:before="40" w:after="40"/>
              <w:ind w:hanging="0"/>
              <w:rPr/>
            </w:pPr>
            <w:r>
              <w:rPr>
                <w:b w:val="false"/>
                <w:color w:val="000000"/>
                <w:sz w:val="18"/>
              </w:rPr>
              <w:t>31.551</w:t>
            </w:r>
          </w:p>
        </w:tc>
        <w:tc>
          <w:tcPr>
            <w:tcW w:w="1558" w:type="dxa"/>
            <w:tcBorders/>
            <w:vAlign w:val="center"/>
          </w:tcPr>
          <w:p>
            <w:pPr>
              <w:pStyle w:val="Normal"/>
              <w:widowControl w:val="false"/>
              <w:spacing w:lineRule="auto" w:line="264" w:before="40" w:after="40"/>
              <w:ind w:hanging="0"/>
              <w:rPr/>
            </w:pPr>
            <w:r>
              <w:rPr>
                <w:b w:val="false"/>
                <w:color w:val="000000"/>
                <w:sz w:val="18"/>
              </w:rPr>
              <w:t>993.276</w:t>
            </w:r>
          </w:p>
        </w:tc>
        <w:tc>
          <w:tcPr>
            <w:tcW w:w="1560" w:type="dxa"/>
            <w:tcBorders/>
            <w:vAlign w:val="center"/>
          </w:tcPr>
          <w:p>
            <w:pPr>
              <w:pStyle w:val="Normal"/>
              <w:widowControl w:val="false"/>
              <w:spacing w:lineRule="auto" w:line="264" w:before="40" w:after="40"/>
              <w:ind w:hanging="0"/>
              <w:rPr/>
            </w:pPr>
            <w:r>
              <w:rPr>
                <w:b w:val="false"/>
                <w:color w:val="000000"/>
                <w:sz w:val="18"/>
              </w:rPr>
              <w:t>3464.054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Linear</w:t>
            </w:r>
          </w:p>
        </w:tc>
        <w:tc>
          <w:tcPr>
            <w:tcW w:w="1558" w:type="dxa"/>
            <w:tcBorders/>
            <w:vAlign w:val="center"/>
          </w:tcPr>
          <w:p>
            <w:pPr>
              <w:pStyle w:val="Normal"/>
              <w:widowControl w:val="false"/>
              <w:spacing w:lineRule="auto" w:line="264" w:before="40" w:after="40"/>
              <w:ind w:hanging="0"/>
              <w:rPr/>
            </w:pPr>
            <w:r>
              <w:rPr>
                <w:b w:val="false"/>
                <w:color w:val="000000"/>
                <w:sz w:val="18"/>
              </w:rPr>
              <w:t>40.678</w:t>
            </w:r>
          </w:p>
        </w:tc>
        <w:tc>
          <w:tcPr>
            <w:tcW w:w="1560" w:type="dxa"/>
            <w:tcBorders/>
            <w:vAlign w:val="center"/>
          </w:tcPr>
          <w:p>
            <w:pPr>
              <w:pStyle w:val="Normal"/>
              <w:widowControl w:val="false"/>
              <w:spacing w:lineRule="auto" w:line="264" w:before="40" w:after="40"/>
              <w:ind w:hanging="0"/>
              <w:rPr/>
            </w:pPr>
            <w:r>
              <w:rPr>
                <w:b w:val="false"/>
                <w:color w:val="000000"/>
                <w:sz w:val="18"/>
              </w:rPr>
              <w:t>33.098</w:t>
            </w:r>
          </w:p>
        </w:tc>
        <w:tc>
          <w:tcPr>
            <w:tcW w:w="1558" w:type="dxa"/>
            <w:tcBorders/>
            <w:vAlign w:val="center"/>
          </w:tcPr>
          <w:p>
            <w:pPr>
              <w:pStyle w:val="Normal"/>
              <w:widowControl w:val="false"/>
              <w:spacing w:lineRule="auto" w:line="264" w:before="40" w:after="40"/>
              <w:ind w:hanging="0"/>
              <w:rPr/>
            </w:pPr>
            <w:r>
              <w:rPr>
                <w:b w:val="false"/>
                <w:color w:val="000000"/>
                <w:sz w:val="18"/>
              </w:rPr>
              <w:t>958.248</w:t>
            </w:r>
          </w:p>
        </w:tc>
        <w:tc>
          <w:tcPr>
            <w:tcW w:w="1560" w:type="dxa"/>
            <w:tcBorders/>
            <w:vAlign w:val="center"/>
          </w:tcPr>
          <w:p>
            <w:pPr>
              <w:pStyle w:val="Normal"/>
              <w:widowControl w:val="false"/>
              <w:spacing w:lineRule="auto" w:line="264" w:before="40" w:after="40"/>
              <w:ind w:hanging="0"/>
              <w:rPr/>
            </w:pPr>
            <w:r>
              <w:rPr>
                <w:b w:val="false"/>
                <w:color w:val="000000"/>
                <w:sz w:val="18"/>
              </w:rPr>
              <w:t>3306.708</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DLinear</w:t>
            </w:r>
          </w:p>
        </w:tc>
        <w:tc>
          <w:tcPr>
            <w:tcW w:w="1558" w:type="dxa"/>
            <w:tcBorders/>
            <w:vAlign w:val="center"/>
          </w:tcPr>
          <w:p>
            <w:pPr>
              <w:pStyle w:val="Normal"/>
              <w:widowControl w:val="false"/>
              <w:spacing w:lineRule="auto" w:line="264" w:before="40" w:after="40"/>
              <w:ind w:hanging="0"/>
              <w:rPr/>
            </w:pPr>
            <w:r>
              <w:rPr>
                <w:b w:val="false"/>
                <w:color w:val="000000"/>
                <w:sz w:val="18"/>
              </w:rPr>
              <w:t>40.799</w:t>
            </w:r>
          </w:p>
        </w:tc>
        <w:tc>
          <w:tcPr>
            <w:tcW w:w="1560" w:type="dxa"/>
            <w:tcBorders/>
            <w:vAlign w:val="center"/>
          </w:tcPr>
          <w:p>
            <w:pPr>
              <w:pStyle w:val="Normal"/>
              <w:widowControl w:val="false"/>
              <w:spacing w:lineRule="auto" w:line="264" w:before="40" w:after="40"/>
              <w:ind w:hanging="0"/>
              <w:rPr/>
            </w:pPr>
            <w:r>
              <w:rPr>
                <w:b w:val="false"/>
                <w:color w:val="000000"/>
                <w:sz w:val="18"/>
              </w:rPr>
              <w:t>33.192</w:t>
            </w:r>
          </w:p>
        </w:tc>
        <w:tc>
          <w:tcPr>
            <w:tcW w:w="1558" w:type="dxa"/>
            <w:tcBorders/>
            <w:vAlign w:val="center"/>
          </w:tcPr>
          <w:p>
            <w:pPr>
              <w:pStyle w:val="Normal"/>
              <w:widowControl w:val="false"/>
              <w:spacing w:lineRule="auto" w:line="264" w:before="40" w:after="40"/>
              <w:ind w:hanging="0"/>
              <w:rPr/>
            </w:pPr>
            <w:r>
              <w:rPr>
                <w:b w:val="false"/>
                <w:color w:val="000000"/>
                <w:sz w:val="18"/>
              </w:rPr>
              <w:t>956.839</w:t>
            </w:r>
          </w:p>
        </w:tc>
        <w:tc>
          <w:tcPr>
            <w:tcW w:w="1560" w:type="dxa"/>
            <w:tcBorders/>
            <w:vAlign w:val="center"/>
          </w:tcPr>
          <w:p>
            <w:pPr>
              <w:pStyle w:val="Normal"/>
              <w:widowControl w:val="false"/>
              <w:spacing w:lineRule="auto" w:line="264" w:before="40" w:after="40"/>
              <w:ind w:hanging="0"/>
              <w:rPr/>
            </w:pPr>
            <w:r>
              <w:rPr>
                <w:b w:val="false"/>
                <w:color w:val="000000"/>
                <w:sz w:val="18"/>
              </w:rPr>
              <w:t>3299.757</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MLP</w:t>
            </w:r>
          </w:p>
        </w:tc>
        <w:tc>
          <w:tcPr>
            <w:tcW w:w="1558" w:type="dxa"/>
            <w:tcBorders/>
            <w:vAlign w:val="center"/>
          </w:tcPr>
          <w:p>
            <w:pPr>
              <w:pStyle w:val="Normal"/>
              <w:widowControl w:val="false"/>
              <w:spacing w:lineRule="auto" w:line="264" w:before="40" w:after="40"/>
              <w:ind w:hanging="0"/>
              <w:rPr/>
            </w:pPr>
            <w:r>
              <w:rPr>
                <w:b w:val="false"/>
                <w:color w:val="000000"/>
                <w:sz w:val="18"/>
              </w:rPr>
              <w:t>31.011</w:t>
            </w:r>
          </w:p>
        </w:tc>
        <w:tc>
          <w:tcPr>
            <w:tcW w:w="1560" w:type="dxa"/>
            <w:tcBorders/>
            <w:vAlign w:val="center"/>
          </w:tcPr>
          <w:p>
            <w:pPr>
              <w:pStyle w:val="Normal"/>
              <w:widowControl w:val="false"/>
              <w:spacing w:lineRule="auto" w:line="264" w:before="40" w:after="40"/>
              <w:ind w:hanging="0"/>
              <w:rPr/>
            </w:pPr>
            <w:r>
              <w:rPr>
                <w:b w:val="false"/>
                <w:color w:val="000000"/>
                <w:sz w:val="18"/>
              </w:rPr>
              <w:t>34.610</w:t>
            </w:r>
          </w:p>
        </w:tc>
        <w:tc>
          <w:tcPr>
            <w:tcW w:w="1558" w:type="dxa"/>
            <w:tcBorders/>
            <w:vAlign w:val="center"/>
          </w:tcPr>
          <w:p>
            <w:pPr>
              <w:pStyle w:val="Normal"/>
              <w:widowControl w:val="false"/>
              <w:spacing w:lineRule="auto" w:line="264" w:before="40" w:after="40"/>
              <w:ind w:hanging="0"/>
              <w:rPr/>
            </w:pPr>
            <w:r>
              <w:rPr>
                <w:b w:val="false"/>
                <w:color w:val="000000"/>
                <w:sz w:val="18"/>
              </w:rPr>
              <w:t>997.492</w:t>
            </w:r>
          </w:p>
        </w:tc>
        <w:tc>
          <w:tcPr>
            <w:tcW w:w="1560" w:type="dxa"/>
            <w:tcBorders/>
            <w:vAlign w:val="center"/>
          </w:tcPr>
          <w:p>
            <w:pPr>
              <w:pStyle w:val="Normal"/>
              <w:widowControl w:val="false"/>
              <w:spacing w:lineRule="auto" w:line="264" w:before="40" w:after="40"/>
              <w:ind w:hanging="0"/>
              <w:rPr/>
            </w:pPr>
            <w:r>
              <w:rPr>
                <w:b w:val="false"/>
                <w:color w:val="000000"/>
                <w:sz w:val="18"/>
              </w:rPr>
              <w:t>3441.574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Chronos-2</w:t>
            </w:r>
          </w:p>
        </w:tc>
        <w:tc>
          <w:tcPr>
            <w:tcW w:w="1558" w:type="dxa"/>
            <w:tcBorders/>
            <w:vAlign w:val="center"/>
          </w:tcPr>
          <w:p>
            <w:pPr>
              <w:pStyle w:val="Normal"/>
              <w:widowControl w:val="false"/>
              <w:spacing w:lineRule="auto" w:line="264" w:before="40" w:after="40"/>
              <w:ind w:hanging="0"/>
              <w:rPr/>
            </w:pPr>
            <w:r>
              <w:rPr>
                <w:b w:val="false"/>
                <w:color w:val="000000"/>
                <w:sz w:val="18"/>
              </w:rPr>
              <w:t>37.096</w:t>
            </w:r>
          </w:p>
        </w:tc>
        <w:tc>
          <w:tcPr>
            <w:tcW w:w="1560" w:type="dxa"/>
            <w:tcBorders/>
            <w:vAlign w:val="center"/>
          </w:tcPr>
          <w:p>
            <w:pPr>
              <w:pStyle w:val="Normal"/>
              <w:widowControl w:val="false"/>
              <w:spacing w:lineRule="auto" w:line="264" w:before="40" w:after="40"/>
              <w:ind w:hanging="0"/>
              <w:rPr/>
            </w:pPr>
            <w:r>
              <w:rPr>
                <w:b w:val="false"/>
                <w:color w:val="000000"/>
                <w:sz w:val="18"/>
              </w:rPr>
              <w:t>34.816</w:t>
            </w:r>
          </w:p>
        </w:tc>
        <w:tc>
          <w:tcPr>
            <w:tcW w:w="1558" w:type="dxa"/>
            <w:tcBorders/>
            <w:vAlign w:val="center"/>
          </w:tcPr>
          <w:p>
            <w:pPr>
              <w:pStyle w:val="Normal"/>
              <w:widowControl w:val="false"/>
              <w:spacing w:lineRule="auto" w:line="264" w:before="40" w:after="40"/>
              <w:ind w:hanging="0"/>
              <w:rPr/>
            </w:pPr>
            <w:r>
              <w:rPr>
                <w:b w:val="false"/>
                <w:color w:val="000000"/>
                <w:sz w:val="18"/>
              </w:rPr>
              <w:t>986.653</w:t>
            </w:r>
          </w:p>
        </w:tc>
        <w:tc>
          <w:tcPr>
            <w:tcW w:w="1560" w:type="dxa"/>
            <w:tcBorders/>
            <w:vAlign w:val="center"/>
          </w:tcPr>
          <w:p>
            <w:pPr>
              <w:pStyle w:val="Normal"/>
              <w:widowControl w:val="false"/>
              <w:spacing w:lineRule="auto" w:line="264" w:before="40" w:after="40"/>
              <w:ind w:hanging="0"/>
              <w:rPr/>
            </w:pPr>
            <w:r>
              <w:rPr>
                <w:b w:val="false"/>
                <w:color w:val="000000"/>
                <w:sz w:val="18"/>
              </w:rPr>
              <w:t>3429.433</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PriceFM</w:t>
            </w:r>
            <w:r>
              <w:rPr>
                <w:rFonts w:ascii="Times New Roman" w:hAnsi="Times New Roman"/>
                <w:b w:val="false"/>
                <w:color w:val="000000"/>
                <w:sz w:val="18"/>
              </w:rPr>
              <w:t>（本地移植）</w:t>
            </w:r>
          </w:p>
        </w:tc>
        <w:tc>
          <w:tcPr>
            <w:tcW w:w="1558" w:type="dxa"/>
            <w:tcBorders/>
            <w:vAlign w:val="center"/>
          </w:tcPr>
          <w:p>
            <w:pPr>
              <w:pStyle w:val="Normal"/>
              <w:widowControl w:val="false"/>
              <w:spacing w:lineRule="auto" w:line="264" w:before="40" w:after="40"/>
              <w:ind w:hanging="0"/>
              <w:rPr/>
            </w:pPr>
            <w:r>
              <w:rPr>
                <w:b w:val="false"/>
                <w:color w:val="000000"/>
                <w:sz w:val="18"/>
              </w:rPr>
              <w:t>36.841</w:t>
            </w:r>
          </w:p>
        </w:tc>
        <w:tc>
          <w:tcPr>
            <w:tcW w:w="1560" w:type="dxa"/>
            <w:tcBorders/>
            <w:vAlign w:val="center"/>
          </w:tcPr>
          <w:p>
            <w:pPr>
              <w:pStyle w:val="Normal"/>
              <w:widowControl w:val="false"/>
              <w:spacing w:lineRule="auto" w:line="264" w:before="40" w:after="40"/>
              <w:ind w:hanging="0"/>
              <w:rPr/>
            </w:pPr>
            <w:r>
              <w:rPr>
                <w:b w:val="false"/>
                <w:color w:val="000000"/>
                <w:sz w:val="18"/>
              </w:rPr>
              <w:t>37.868</w:t>
            </w:r>
          </w:p>
        </w:tc>
        <w:tc>
          <w:tcPr>
            <w:tcW w:w="1558" w:type="dxa"/>
            <w:tcBorders/>
            <w:vAlign w:val="center"/>
          </w:tcPr>
          <w:p>
            <w:pPr>
              <w:pStyle w:val="Normal"/>
              <w:widowControl w:val="false"/>
              <w:spacing w:lineRule="auto" w:line="264" w:before="40" w:after="40"/>
              <w:ind w:hanging="0"/>
              <w:rPr/>
            </w:pPr>
            <w:r>
              <w:rPr>
                <w:b w:val="false"/>
                <w:color w:val="000000"/>
                <w:sz w:val="18"/>
              </w:rPr>
              <w:t>1012.340</w:t>
            </w:r>
          </w:p>
        </w:tc>
        <w:tc>
          <w:tcPr>
            <w:tcW w:w="1560" w:type="dxa"/>
            <w:tcBorders/>
            <w:vAlign w:val="center"/>
          </w:tcPr>
          <w:p>
            <w:pPr>
              <w:pStyle w:val="Normal"/>
              <w:widowControl w:val="false"/>
              <w:spacing w:lineRule="auto" w:line="264" w:before="40" w:after="40"/>
              <w:ind w:hanging="0"/>
              <w:rPr/>
            </w:pPr>
            <w:r>
              <w:rPr>
                <w:b w:val="false"/>
                <w:color w:val="000000"/>
                <w:sz w:val="18"/>
              </w:rPr>
              <w:t>3447.687</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Moirai-2</w:t>
            </w:r>
          </w:p>
        </w:tc>
        <w:tc>
          <w:tcPr>
            <w:tcW w:w="1558" w:type="dxa"/>
            <w:tcBorders/>
            <w:vAlign w:val="center"/>
          </w:tcPr>
          <w:p>
            <w:pPr>
              <w:pStyle w:val="Normal"/>
              <w:widowControl w:val="false"/>
              <w:spacing w:lineRule="auto" w:line="264" w:before="40" w:after="40"/>
              <w:ind w:hanging="0"/>
              <w:rPr/>
            </w:pPr>
            <w:r>
              <w:rPr>
                <w:b w:val="false"/>
                <w:color w:val="000000"/>
                <w:sz w:val="18"/>
              </w:rPr>
              <w:t>58.653</w:t>
            </w:r>
          </w:p>
        </w:tc>
        <w:tc>
          <w:tcPr>
            <w:tcW w:w="1560" w:type="dxa"/>
            <w:tcBorders/>
            <w:vAlign w:val="center"/>
          </w:tcPr>
          <w:p>
            <w:pPr>
              <w:pStyle w:val="Normal"/>
              <w:widowControl w:val="false"/>
              <w:spacing w:lineRule="auto" w:line="264" w:before="40" w:after="40"/>
              <w:ind w:hanging="0"/>
              <w:rPr/>
            </w:pPr>
            <w:r>
              <w:rPr>
                <w:b w:val="false"/>
                <w:color w:val="000000"/>
                <w:sz w:val="18"/>
              </w:rPr>
              <w:t>39.734</w:t>
            </w:r>
          </w:p>
        </w:tc>
        <w:tc>
          <w:tcPr>
            <w:tcW w:w="1558" w:type="dxa"/>
            <w:tcBorders/>
            <w:vAlign w:val="center"/>
          </w:tcPr>
          <w:p>
            <w:pPr>
              <w:pStyle w:val="Normal"/>
              <w:widowControl w:val="false"/>
              <w:spacing w:lineRule="auto" w:line="264" w:before="40" w:after="40"/>
              <w:ind w:hanging="0"/>
              <w:rPr/>
            </w:pPr>
            <w:r>
              <w:rPr>
                <w:b w:val="false"/>
                <w:color w:val="000000"/>
                <w:sz w:val="18"/>
              </w:rPr>
              <w:t>1031.843</w:t>
            </w:r>
          </w:p>
        </w:tc>
        <w:tc>
          <w:tcPr>
            <w:tcW w:w="1560" w:type="dxa"/>
            <w:tcBorders/>
            <w:vAlign w:val="center"/>
          </w:tcPr>
          <w:p>
            <w:pPr>
              <w:pStyle w:val="Normal"/>
              <w:widowControl w:val="false"/>
              <w:spacing w:lineRule="auto" w:line="264" w:before="40" w:after="40"/>
              <w:ind w:hanging="0"/>
              <w:rPr/>
            </w:pPr>
            <w:r>
              <w:rPr>
                <w:b w:val="false"/>
                <w:color w:val="000000"/>
                <w:sz w:val="18"/>
              </w:rPr>
              <w:t>3486.964</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DDNN-JSU</w:t>
            </w:r>
          </w:p>
        </w:tc>
        <w:tc>
          <w:tcPr>
            <w:tcW w:w="1558" w:type="dxa"/>
            <w:tcBorders/>
            <w:vAlign w:val="center"/>
          </w:tcPr>
          <w:p>
            <w:pPr>
              <w:pStyle w:val="Normal"/>
              <w:widowControl w:val="false"/>
              <w:spacing w:lineRule="auto" w:line="264" w:before="40" w:after="40"/>
              <w:ind w:hanging="0"/>
              <w:rPr/>
            </w:pPr>
            <w:r>
              <w:rPr>
                <w:b w:val="false"/>
                <w:color w:val="000000"/>
                <w:sz w:val="18"/>
              </w:rPr>
              <w:t>31.076</w:t>
            </w:r>
          </w:p>
        </w:tc>
        <w:tc>
          <w:tcPr>
            <w:tcW w:w="1560" w:type="dxa"/>
            <w:tcBorders/>
            <w:vAlign w:val="center"/>
          </w:tcPr>
          <w:p>
            <w:pPr>
              <w:pStyle w:val="Normal"/>
              <w:widowControl w:val="false"/>
              <w:spacing w:lineRule="auto" w:line="264" w:before="40" w:after="40"/>
              <w:ind w:hanging="0"/>
              <w:rPr/>
            </w:pPr>
            <w:r>
              <w:rPr>
                <w:b w:val="false"/>
                <w:color w:val="000000"/>
                <w:sz w:val="18"/>
              </w:rPr>
              <w:t>43.951</w:t>
            </w:r>
          </w:p>
        </w:tc>
        <w:tc>
          <w:tcPr>
            <w:tcW w:w="1558" w:type="dxa"/>
            <w:tcBorders/>
            <w:vAlign w:val="center"/>
          </w:tcPr>
          <w:p>
            <w:pPr>
              <w:pStyle w:val="Normal"/>
              <w:widowControl w:val="false"/>
              <w:spacing w:lineRule="auto" w:line="264" w:before="40" w:after="40"/>
              <w:ind w:hanging="0"/>
              <w:rPr/>
            </w:pPr>
            <w:r>
              <w:rPr>
                <w:b w:val="false"/>
                <w:color w:val="000000"/>
                <w:sz w:val="18"/>
              </w:rPr>
              <w:t>1093.871</w:t>
            </w:r>
          </w:p>
        </w:tc>
        <w:tc>
          <w:tcPr>
            <w:tcW w:w="1560" w:type="dxa"/>
            <w:tcBorders/>
            <w:vAlign w:val="center"/>
          </w:tcPr>
          <w:p>
            <w:pPr>
              <w:pStyle w:val="Normal"/>
              <w:widowControl w:val="false"/>
              <w:spacing w:lineRule="auto" w:line="264" w:before="40" w:after="40"/>
              <w:ind w:hanging="0"/>
              <w:rPr/>
            </w:pPr>
            <w:r>
              <w:rPr>
                <w:b w:val="false"/>
                <w:color w:val="000000"/>
                <w:sz w:val="18"/>
              </w:rPr>
              <w:t>3655.713</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Lasso-ARX72+CP</w:t>
            </w:r>
          </w:p>
        </w:tc>
        <w:tc>
          <w:tcPr>
            <w:tcW w:w="1558" w:type="dxa"/>
            <w:tcBorders/>
            <w:vAlign w:val="center"/>
          </w:tcPr>
          <w:p>
            <w:pPr>
              <w:pStyle w:val="Normal"/>
              <w:widowControl w:val="false"/>
              <w:spacing w:lineRule="auto" w:line="264" w:before="40" w:after="40"/>
              <w:ind w:hanging="0"/>
              <w:rPr/>
            </w:pPr>
            <w:r>
              <w:rPr>
                <w:b w:val="false"/>
                <w:color w:val="000000"/>
                <w:sz w:val="18"/>
              </w:rPr>
              <w:t>79.193</w:t>
            </w:r>
          </w:p>
        </w:tc>
        <w:tc>
          <w:tcPr>
            <w:tcW w:w="1560" w:type="dxa"/>
            <w:tcBorders/>
            <w:vAlign w:val="center"/>
          </w:tcPr>
          <w:p>
            <w:pPr>
              <w:pStyle w:val="Normal"/>
              <w:widowControl w:val="false"/>
              <w:spacing w:lineRule="auto" w:line="264" w:before="40" w:after="40"/>
              <w:ind w:hanging="0"/>
              <w:rPr/>
            </w:pPr>
            <w:r>
              <w:rPr>
                <w:b w:val="false"/>
                <w:color w:val="000000"/>
                <w:sz w:val="18"/>
              </w:rPr>
              <w:t>40.228</w:t>
            </w:r>
          </w:p>
        </w:tc>
        <w:tc>
          <w:tcPr>
            <w:tcW w:w="1558" w:type="dxa"/>
            <w:tcBorders/>
            <w:vAlign w:val="center"/>
          </w:tcPr>
          <w:p>
            <w:pPr>
              <w:pStyle w:val="Normal"/>
              <w:widowControl w:val="false"/>
              <w:spacing w:lineRule="auto" w:line="264" w:before="40" w:after="40"/>
              <w:ind w:hanging="0"/>
              <w:rPr/>
            </w:pPr>
            <w:r>
              <w:rPr>
                <w:b w:val="false"/>
                <w:color w:val="000000"/>
                <w:sz w:val="18"/>
              </w:rPr>
              <w:t>1070.787</w:t>
            </w:r>
          </w:p>
        </w:tc>
        <w:tc>
          <w:tcPr>
            <w:tcW w:w="1560" w:type="dxa"/>
            <w:tcBorders/>
            <w:vAlign w:val="center"/>
          </w:tcPr>
          <w:p>
            <w:pPr>
              <w:pStyle w:val="Normal"/>
              <w:widowControl w:val="false"/>
              <w:spacing w:lineRule="auto" w:line="264" w:before="40" w:after="40"/>
              <w:ind w:hanging="0"/>
              <w:rPr/>
            </w:pPr>
            <w:r>
              <w:rPr>
                <w:b w:val="false"/>
                <w:color w:val="000000"/>
                <w:sz w:val="18"/>
              </w:rPr>
              <w:t>3541.969</w:t>
            </w:r>
          </w:p>
        </w:tc>
      </w:tr>
      <w:tr>
        <w:trPr>
          <w:cantSplit w:val="true"/>
        </w:trPr>
        <w:tc>
          <w:tcPr>
            <w:tcW w:w="2721" w:type="dxa"/>
            <w:tcBorders/>
            <w:vAlign w:val="center"/>
          </w:tcPr>
          <w:p>
            <w:pPr>
              <w:pStyle w:val="Normal"/>
              <w:widowControl w:val="false"/>
              <w:spacing w:lineRule="auto" w:line="264" w:before="40" w:after="40"/>
              <w:ind w:hanging="0"/>
              <w:rPr/>
            </w:pPr>
            <w:r>
              <w:rPr>
                <w:b w:val="false"/>
                <w:color w:val="000000"/>
                <w:sz w:val="18"/>
              </w:rPr>
              <w:t>N-HiTS+QRA</w:t>
            </w:r>
          </w:p>
        </w:tc>
        <w:tc>
          <w:tcPr>
            <w:tcW w:w="1558" w:type="dxa"/>
            <w:tcBorders/>
            <w:vAlign w:val="center"/>
          </w:tcPr>
          <w:p>
            <w:pPr>
              <w:pStyle w:val="Normal"/>
              <w:widowControl w:val="false"/>
              <w:spacing w:lineRule="auto" w:line="264" w:before="40" w:after="40"/>
              <w:ind w:hanging="0"/>
              <w:rPr/>
            </w:pPr>
            <w:r>
              <w:rPr>
                <w:b w:val="false"/>
                <w:color w:val="000000"/>
                <w:sz w:val="18"/>
              </w:rPr>
              <w:t>84.214</w:t>
            </w:r>
          </w:p>
        </w:tc>
        <w:tc>
          <w:tcPr>
            <w:tcW w:w="1560" w:type="dxa"/>
            <w:tcBorders/>
            <w:vAlign w:val="center"/>
          </w:tcPr>
          <w:p>
            <w:pPr>
              <w:pStyle w:val="Normal"/>
              <w:widowControl w:val="false"/>
              <w:spacing w:lineRule="auto" w:line="264" w:before="40" w:after="40"/>
              <w:ind w:hanging="0"/>
              <w:rPr/>
            </w:pPr>
            <w:r>
              <w:rPr>
                <w:b w:val="false"/>
                <w:color w:val="000000"/>
                <w:sz w:val="18"/>
              </w:rPr>
              <w:t>43.577</w:t>
            </w:r>
          </w:p>
        </w:tc>
        <w:tc>
          <w:tcPr>
            <w:tcW w:w="1558" w:type="dxa"/>
            <w:tcBorders/>
            <w:vAlign w:val="center"/>
          </w:tcPr>
          <w:p>
            <w:pPr>
              <w:pStyle w:val="Normal"/>
              <w:widowControl w:val="false"/>
              <w:spacing w:lineRule="auto" w:line="264" w:before="40" w:after="40"/>
              <w:ind w:hanging="0"/>
              <w:rPr/>
            </w:pPr>
            <w:r>
              <w:rPr>
                <w:b w:val="false"/>
                <w:color w:val="000000"/>
                <w:sz w:val="18"/>
              </w:rPr>
              <w:t>972.218</w:t>
            </w:r>
          </w:p>
        </w:tc>
        <w:tc>
          <w:tcPr>
            <w:tcW w:w="1560" w:type="dxa"/>
            <w:tcBorders/>
            <w:vAlign w:val="center"/>
          </w:tcPr>
          <w:p>
            <w:pPr>
              <w:pStyle w:val="Normal"/>
              <w:widowControl w:val="false"/>
              <w:spacing w:lineRule="auto" w:line="264" w:before="40" w:after="40"/>
              <w:ind w:hanging="0"/>
              <w:rPr/>
            </w:pPr>
            <w:r>
              <w:rPr>
                <w:b w:val="false"/>
                <w:color w:val="000000"/>
                <w:sz w:val="18"/>
              </w:rPr>
              <w:t>3390.010</w:t>
            </w:r>
          </w:p>
        </w:tc>
      </w:tr>
      <w:tr>
        <w:trPr>
          <w:cantSplit w:val="true"/>
        </w:trPr>
        <w:tc>
          <w:tcPr>
            <w:tcW w:w="2721"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TimesFM-2.5+XReg</w:t>
            </w:r>
          </w:p>
        </w:tc>
        <w:tc>
          <w:tcPr>
            <w:tcW w:w="155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52.245</w:t>
            </w:r>
          </w:p>
        </w:tc>
        <w:tc>
          <w:tcPr>
            <w:tcW w:w="1560"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66.620</w:t>
            </w:r>
          </w:p>
        </w:tc>
        <w:tc>
          <w:tcPr>
            <w:tcW w:w="1558"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980.398</w:t>
            </w:r>
          </w:p>
        </w:tc>
        <w:tc>
          <w:tcPr>
            <w:tcW w:w="1560" w:type="dxa"/>
            <w:tcBorders>
              <w:bottom w:val="single" w:sz="10" w:space="0" w:color="000000"/>
            </w:tcBorders>
            <w:vAlign w:val="center"/>
          </w:tcPr>
          <w:p>
            <w:pPr>
              <w:pStyle w:val="Normal"/>
              <w:widowControl w:val="false"/>
              <w:spacing w:lineRule="auto" w:line="264" w:before="40" w:after="40"/>
              <w:ind w:hanging="0"/>
              <w:rPr/>
            </w:pPr>
            <w:r>
              <w:rPr>
                <w:b w:val="false"/>
                <w:color w:val="000000"/>
                <w:sz w:val="18"/>
              </w:rPr>
              <w:t>3384.338</w:t>
            </w:r>
          </w:p>
        </w:tc>
      </w:tr>
    </w:tbl>
    <w:p>
      <w:pPr>
        <w:pStyle w:val="Normal"/>
        <w:spacing w:before="0" w:after="0"/>
        <w:rPr/>
      </w:pPr>
      <w:r>
        <w:rPr/>
      </w:r>
      <w:r>
        <w:br w:type="page"/>
      </w:r>
    </w:p>
    <w:p>
      <w:pPr>
        <w:pStyle w:val="Heading1"/>
        <w:rPr/>
      </w:pPr>
      <w:bookmarkStart w:id="42" w:name="__RefHeading___Toc4091_610684220"/>
      <w:bookmarkEnd w:id="42"/>
      <w:r>
        <w:rPr/>
        <w:t>附录</w:t>
      </w:r>
      <w:r>
        <w:rPr/>
        <w:t xml:space="preserve">B  </w:t>
      </w:r>
      <w:r>
        <w:rPr/>
        <w:t>可复现性说明</w:t>
      </w:r>
    </w:p>
    <w:p>
      <w:pPr>
        <w:pStyle w:val="Normal"/>
        <w:jc w:val="both"/>
        <w:rPr/>
      </w:pPr>
      <w:r>
        <w:rPr/>
        <w:t>总体结果来自冻结的</w:t>
      </w:r>
      <w:r>
        <w:rPr/>
        <w:t>2023—2024</w:t>
      </w:r>
      <w:r>
        <w:rPr/>
        <w:t>年预测文件。结果整理版本为</w:t>
      </w:r>
      <w:r>
        <w:rPr/>
        <w:t>2026</w:t>
      </w:r>
      <w:r>
        <w:rPr/>
        <w:t>年</w:t>
      </w:r>
      <w:r>
        <w:rPr/>
        <w:t>10</w:t>
      </w:r>
      <w:r>
        <w:rPr/>
        <w:t>月</w:t>
      </w:r>
      <w:r>
        <w:rPr/>
        <w:t>24</w:t>
      </w:r>
      <w:r>
        <w:rPr/>
        <w:t>日维护后的统一比较集，当前联合方法版本为</w:t>
      </w:r>
      <w:r>
        <w:rPr/>
        <w:t>asymmetric_balance_20261023</w:t>
      </w:r>
      <w:r>
        <w:rPr/>
        <w:t>；本文另对同一批预测作价格分层复算。数据路径、来源哈希和逐格分数保存在配套材料中，未在报告编制过程中重新训练或基于测试结果调整模型。</w:t>
      </w:r>
    </w:p>
    <w:p>
      <w:pPr>
        <w:pStyle w:val="Normal"/>
        <w:jc w:val="both"/>
        <w:rPr/>
      </w:pPr>
      <w:r>
        <w:rPr/>
        <w:t>基线参考文献按原始出版页和论文记录核对。预训练基础模型区分模型世代、论文来源与实际权重版本，相关本地书目信息的更正记录保存在文献元数据文件中。</w:t>
      </w:r>
      <w:r>
        <w:rPr/>
        <w:t>Informer</w:t>
      </w:r>
      <w:r>
        <w:rPr/>
        <w:t>和</w:t>
      </w:r>
      <w:r>
        <w:rPr/>
        <w:t>iTransformer</w:t>
      </w:r>
      <w:r>
        <w:rPr/>
        <w:t>虽保留历史实现，但未进入本次</w:t>
      </w:r>
      <w:r>
        <w:rPr/>
        <w:t>19</w:t>
      </w:r>
      <w:r>
        <w:rPr/>
        <w:t>个已完成基线的总体比较。</w:t>
      </w:r>
    </w:p>
    <w:p>
      <w:pPr>
        <w:pStyle w:val="Caption1"/>
        <w:keepNext w:val="true"/>
        <w:rPr/>
      </w:pPr>
      <w:r>
        <w:rPr/>
        <w:t>表</w:t>
      </w:r>
      <w:r>
        <w:rPr/>
        <w:t xml:space="preserve">B-1  </w:t>
      </w:r>
      <w:r>
        <w:rPr/>
        <w:t>配套复现材料</w:t>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2"/>
        <w:gridCol w:w="5555"/>
      </w:tblGrid>
      <w:tr>
        <w:trPr>
          <w:tblHeader w:val="true"/>
          <w:cantSplit w:val="true"/>
        </w:trPr>
        <w:tc>
          <w:tcPr>
            <w:tcW w:w="3402"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材料</w:t>
            </w:r>
          </w:p>
        </w:tc>
        <w:tc>
          <w:tcPr>
            <w:tcW w:w="5555" w:type="dxa"/>
            <w:tcBorders>
              <w:top w:val="single" w:sz="10" w:space="0" w:color="000000"/>
              <w:bottom w:val="single" w:sz="6" w:space="0" w:color="000000"/>
            </w:tcBorders>
            <w:vAlign w:val="center"/>
          </w:tcPr>
          <w:p>
            <w:pPr>
              <w:pStyle w:val="Normal"/>
              <w:keepNext w:val="true"/>
              <w:widowControl w:val="false"/>
              <w:spacing w:lineRule="auto" w:line="264" w:before="40" w:after="40"/>
              <w:ind w:hanging="0"/>
              <w:rPr/>
            </w:pPr>
            <w:r>
              <w:rPr>
                <w:rFonts w:ascii="Times New Roman" w:hAnsi="Times New Roman"/>
                <w:b/>
                <w:color w:val="000000"/>
                <w:sz w:val="20"/>
              </w:rPr>
              <w:t>用途</w:t>
            </w:r>
          </w:p>
        </w:tc>
      </w:tr>
      <w:tr>
        <w:trPr>
          <w:cantSplit w:val="true"/>
        </w:trPr>
        <w:tc>
          <w:tcPr>
            <w:tcW w:w="3402" w:type="dxa"/>
            <w:tcBorders/>
            <w:vAlign w:val="center"/>
          </w:tcPr>
          <w:p>
            <w:pPr>
              <w:pStyle w:val="Normal"/>
              <w:keepNext w:val="true"/>
              <w:widowControl w:val="false"/>
              <w:spacing w:lineRule="auto" w:line="264" w:before="40" w:after="40"/>
              <w:ind w:hanging="0"/>
              <w:rPr/>
            </w:pPr>
            <w:r>
              <w:rPr>
                <w:b w:val="false"/>
                <w:color w:val="000000"/>
                <w:sz w:val="20"/>
              </w:rPr>
              <w:t>main.csv / regional.csv</w:t>
            </w:r>
          </w:p>
        </w:tc>
        <w:tc>
          <w:tcPr>
            <w:tcW w:w="5555"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总体及分地区评分</w:t>
            </w:r>
          </w:p>
        </w:tc>
      </w:tr>
      <w:tr>
        <w:trPr>
          <w:cantSplit w:val="true"/>
        </w:trPr>
        <w:tc>
          <w:tcPr>
            <w:tcW w:w="3402" w:type="dxa"/>
            <w:tcBorders/>
            <w:vAlign w:val="center"/>
          </w:tcPr>
          <w:p>
            <w:pPr>
              <w:pStyle w:val="Normal"/>
              <w:keepNext w:val="true"/>
              <w:widowControl w:val="false"/>
              <w:spacing w:lineRule="auto" w:line="264" w:before="40" w:after="40"/>
              <w:ind w:hanging="0"/>
              <w:rPr/>
            </w:pPr>
            <w:r>
              <w:rPr>
                <w:b w:val="false"/>
                <w:color w:val="000000"/>
                <w:sz w:val="20"/>
              </w:rPr>
              <w:t>per_seed.csv / verification.json</w:t>
            </w:r>
          </w:p>
        </w:tc>
        <w:tc>
          <w:tcPr>
            <w:tcW w:w="5555"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逐</w:t>
            </w:r>
            <w:r>
              <w:rPr>
                <w:b w:val="false"/>
                <w:color w:val="000000"/>
                <w:sz w:val="20"/>
              </w:rPr>
              <w:t>seed</w:t>
            </w:r>
            <w:r>
              <w:rPr>
                <w:rFonts w:ascii="Times New Roman" w:hAnsi="Times New Roman"/>
                <w:b w:val="false"/>
                <w:color w:val="000000"/>
                <w:sz w:val="20"/>
              </w:rPr>
              <w:t>结果与来源一致性核验</w:t>
            </w:r>
          </w:p>
        </w:tc>
      </w:tr>
      <w:tr>
        <w:trPr>
          <w:cantSplit w:val="true"/>
        </w:trPr>
        <w:tc>
          <w:tcPr>
            <w:tcW w:w="3402" w:type="dxa"/>
            <w:tcBorders/>
            <w:vAlign w:val="center"/>
          </w:tcPr>
          <w:p>
            <w:pPr>
              <w:pStyle w:val="Normal"/>
              <w:keepNext w:val="true"/>
              <w:widowControl w:val="false"/>
              <w:spacing w:lineRule="auto" w:line="264" w:before="40" w:after="40"/>
              <w:ind w:hanging="0"/>
              <w:rPr/>
            </w:pPr>
            <w:r>
              <w:rPr>
                <w:b w:val="false"/>
                <w:color w:val="000000"/>
                <w:sz w:val="20"/>
              </w:rPr>
              <w:t>latest_spike_diagnostics_macro.csv</w:t>
            </w:r>
          </w:p>
        </w:tc>
        <w:tc>
          <w:tcPr>
            <w:tcW w:w="5555"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本次价格分层宏平均评分</w:t>
            </w:r>
          </w:p>
        </w:tc>
      </w:tr>
      <w:tr>
        <w:trPr>
          <w:cantSplit w:val="true"/>
        </w:trPr>
        <w:tc>
          <w:tcPr>
            <w:tcW w:w="3402" w:type="dxa"/>
            <w:tcBorders/>
            <w:vAlign w:val="center"/>
          </w:tcPr>
          <w:p>
            <w:pPr>
              <w:pStyle w:val="Normal"/>
              <w:keepNext w:val="true"/>
              <w:widowControl w:val="false"/>
              <w:spacing w:lineRule="auto" w:line="264" w:before="40" w:after="40"/>
              <w:ind w:hanging="0"/>
              <w:rPr/>
            </w:pPr>
            <w:r>
              <w:rPr>
                <w:b w:val="false"/>
                <w:color w:val="000000"/>
                <w:sz w:val="20"/>
              </w:rPr>
              <w:t>latest_spike_diagnostics_provenance.json</w:t>
            </w:r>
          </w:p>
        </w:tc>
        <w:tc>
          <w:tcPr>
            <w:tcW w:w="5555" w:type="dxa"/>
            <w:tcBorders/>
            <w:vAlign w:val="center"/>
          </w:tcPr>
          <w:p>
            <w:pPr>
              <w:pStyle w:val="Normal"/>
              <w:keepNext w:val="true"/>
              <w:widowControl w:val="false"/>
              <w:spacing w:lineRule="auto" w:line="264" w:before="40" w:after="40"/>
              <w:ind w:hanging="0"/>
              <w:rPr/>
            </w:pPr>
            <w:r>
              <w:rPr>
                <w:rFonts w:ascii="Times New Roman" w:hAnsi="Times New Roman"/>
                <w:b w:val="false"/>
                <w:color w:val="000000"/>
                <w:sz w:val="20"/>
              </w:rPr>
              <w:t>分层复算来源、哈希与样本核验</w:t>
            </w:r>
          </w:p>
        </w:tc>
      </w:tr>
      <w:tr>
        <w:trPr>
          <w:cantSplit w:val="true"/>
        </w:trPr>
        <w:tc>
          <w:tcPr>
            <w:tcW w:w="3402" w:type="dxa"/>
            <w:tcBorders>
              <w:bottom w:val="single" w:sz="10" w:space="0" w:color="000000"/>
            </w:tcBorders>
            <w:vAlign w:val="center"/>
          </w:tcPr>
          <w:p>
            <w:pPr>
              <w:pStyle w:val="Normal"/>
              <w:widowControl w:val="false"/>
              <w:spacing w:lineRule="auto" w:line="264" w:before="40" w:after="40"/>
              <w:ind w:hanging="0"/>
              <w:rPr/>
            </w:pPr>
            <w:r>
              <w:rPr>
                <w:b w:val="false"/>
                <w:color w:val="000000"/>
                <w:sz w:val="20"/>
              </w:rPr>
              <w:t>baselines.json / method.json</w:t>
            </w:r>
          </w:p>
        </w:tc>
        <w:tc>
          <w:tcPr>
            <w:tcW w:w="5555" w:type="dxa"/>
            <w:tcBorders>
              <w:bottom w:val="single" w:sz="10" w:space="0" w:color="000000"/>
            </w:tcBorders>
            <w:vAlign w:val="center"/>
          </w:tcPr>
          <w:p>
            <w:pPr>
              <w:pStyle w:val="Normal"/>
              <w:widowControl w:val="false"/>
              <w:spacing w:lineRule="auto" w:line="264" w:before="40" w:after="40"/>
              <w:ind w:hanging="0"/>
              <w:rPr/>
            </w:pPr>
            <w:r>
              <w:rPr>
                <w:rFonts w:ascii="Times New Roman" w:hAnsi="Times New Roman"/>
                <w:b w:val="false"/>
                <w:color w:val="000000"/>
                <w:sz w:val="20"/>
              </w:rPr>
              <w:t>方法来源与版本记录</w:t>
            </w:r>
          </w:p>
        </w:tc>
      </w:tr>
    </w:tbl>
    <w:p>
      <w:pPr>
        <w:pStyle w:val="Normal"/>
        <w:spacing w:before="0" w:after="0"/>
        <w:rPr/>
      </w:pPr>
      <w:r>
        <w:rPr/>
      </w:r>
    </w:p>
    <w:sectPr>
      <w:headerReference w:type="default" r:id="rId51"/>
      <w:footerReference w:type="default" r:id="rId52"/>
      <w:type w:val="nextPage"/>
      <w:pgSz w:w="11906" w:h="16838"/>
      <w:pgMar w:left="1531" w:right="1361" w:gutter="0" w:header="709" w:top="1417" w:footer="709" w:bottom="136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DejaVu San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33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center"/>
      <w:rPr/>
    </w:pPr>
    <w:r>
      <w:rPr>
        <w:sz w:val="18"/>
      </w:rPr>
      <w:t>面向电价尖峰的概率预测方法研究</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center"/>
      <w:rPr/>
    </w:pPr>
    <w:r>
      <w:rPr>
        <w:sz w:val="18"/>
      </w:rPr>
      <w:t>面向电价尖峰的概率预测方法研究</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440" w:before="0" w:after="0"/>
      <w:ind w:firstLine="480"/>
      <w:jc w:val="left"/>
    </w:pPr>
    <w:rPr>
      <w:rFonts w:ascii="Times New Roman" w:hAnsi="Times New Roman" w:eastAsia="Noto Serif CJK SC"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ind w:hanging="0"/>
      <w:jc w:val="center"/>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60"/>
      <w:ind w:hanging="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60"/>
      <w:ind w:hanging="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000000"/>
      <w:sz w:val="24"/>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000000"/>
      <w:sz w:val="24"/>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sz w:val="24"/>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4"/>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4"/>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DejaVu Sans" w:hAnsi="DejaVu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rFonts w:ascii="Times New Roman" w:hAnsi="Times New Roman" w:eastAsia="Noto Serif CJK SC"/>
      <w:color w:val="000000"/>
      <w:sz w:val="24"/>
    </w:rPr>
  </w:style>
  <w:style w:type="paragraph" w:styleId="List">
    <w:name w:val="List"/>
    <w:basedOn w:val="Normal"/>
    <w:uiPriority w:val="99"/>
    <w:unhideWhenUsed/>
    <w:rsid w:val="00aa1d8d"/>
    <w:pPr>
      <w:spacing w:before="0" w:after="0"/>
      <w:ind w:left="360" w:hanging="360"/>
      <w:contextualSpacing/>
    </w:pPr>
    <w:rPr>
      <w:rFonts w:ascii="Times New Roman" w:hAnsi="Times New Roman" w:eastAsia="Noto Serif CJK SC"/>
      <w:color w:val="000000"/>
      <w:sz w:val="24"/>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Noto Serif CJK SC"/>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Noto Serif CJK SC"/>
      <w:color w:val="000000"/>
      <w:sz w:val="24"/>
    </w:rPr>
  </w:style>
  <w:style w:type="paragraph" w:styleId="NoSpacing">
    <w:name w:val="No Spacing"/>
    <w:uiPriority w:val="1"/>
    <w:qFormat/>
    <w:rsid w:val="00fc693f"/>
    <w:pPr>
      <w:widowControl/>
      <w:bidi w:val="0"/>
      <w:spacing w:lineRule="auto" w:line="240" w:before="0" w:after="0"/>
      <w:jc w:val="left"/>
    </w:pPr>
    <w:rPr>
      <w:rFonts w:ascii="Times New Roman" w:hAnsi="Times New Roman" w:eastAsia="Noto Serif CJK SC" w:cs=""/>
      <w:color w:val="000000"/>
      <w:kern w:val="0"/>
      <w:sz w:val="24"/>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240" w:after="160"/>
      <w:ind w:hanging="0"/>
      <w:contextualSpacing/>
    </w:pPr>
    <w:rPr>
      <w:rFonts w:ascii="Calibri" w:hAnsi="Calibri" w:eastAsia="ＭＳ ゴシック" w:cs="" w:asciiTheme="majorHAnsi" w:cstheme="majorBidi" w:eastAsiaTheme="majorEastAsia" w:hAnsiTheme="majorHAnsi"/>
      <w:b/>
      <w:color w:val="000000"/>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0"/>
      <w:ind w:left="720" w:firstLine="480"/>
      <w:contextualSpacing/>
    </w:pPr>
    <w:rPr>
      <w:rFonts w:ascii="Times New Roman" w:hAnsi="Times New Roman" w:eastAsia="Noto Serif CJK SC"/>
      <w:color w:val="000000"/>
      <w:sz w:val="24"/>
    </w:rPr>
  </w:style>
  <w:style w:type="paragraph" w:styleId="BodyText2">
    <w:name w:val="Body Text 2"/>
    <w:basedOn w:val="Normal"/>
    <w:link w:val="BodyText2Char"/>
    <w:uiPriority w:val="99"/>
    <w:unhideWhenUsed/>
    <w:qFormat/>
    <w:rsid w:val="00aa1d8d"/>
    <w:pPr>
      <w:spacing w:lineRule="auto" w:line="480" w:before="0" w:after="120"/>
    </w:pPr>
    <w:rPr>
      <w:rFonts w:ascii="Times New Roman" w:hAnsi="Times New Roman" w:eastAsia="Noto Serif CJK SC"/>
      <w:color w:val="000000"/>
      <w:sz w:val="24"/>
    </w:rPr>
  </w:style>
  <w:style w:type="paragraph" w:styleId="BodyText3">
    <w:name w:val="Body Text 3"/>
    <w:basedOn w:val="Normal"/>
    <w:link w:val="BodyText3Char"/>
    <w:uiPriority w:val="99"/>
    <w:unhideWhenUsed/>
    <w:qFormat/>
    <w:rsid w:val="00aa1d8d"/>
    <w:pPr>
      <w:spacing w:before="0" w:after="120"/>
    </w:pPr>
    <w:rPr>
      <w:rFonts w:ascii="Times New Roman" w:hAnsi="Times New Roman" w:eastAsia="Noto Serif CJK SC"/>
      <w:color w:val="000000"/>
      <w:sz w:val="24"/>
      <w:szCs w:val="16"/>
    </w:rPr>
  </w:style>
  <w:style w:type="paragraph" w:styleId="List2">
    <w:name w:val="List Bullet 3"/>
    <w:basedOn w:val="Normal"/>
    <w:uiPriority w:val="99"/>
    <w:unhideWhenUsed/>
    <w:rsid w:val="00326f90"/>
    <w:pPr>
      <w:spacing w:before="0" w:after="0"/>
      <w:ind w:left="720" w:hanging="360"/>
      <w:contextualSpacing/>
    </w:pPr>
    <w:rPr>
      <w:rFonts w:ascii="Times New Roman" w:hAnsi="Times New Roman" w:eastAsia="Noto Serif CJK SC"/>
      <w:color w:val="000000"/>
      <w:sz w:val="24"/>
    </w:rPr>
  </w:style>
  <w:style w:type="paragraph" w:styleId="List3">
    <w:name w:val="List Bullet 4"/>
    <w:basedOn w:val="Normal"/>
    <w:uiPriority w:val="99"/>
    <w:unhideWhenUsed/>
    <w:rsid w:val="00326f90"/>
    <w:pPr>
      <w:spacing w:before="0" w:after="0"/>
      <w:ind w:left="1080" w:hanging="360"/>
      <w:contextualSpacing/>
    </w:pPr>
    <w:rPr>
      <w:rFonts w:ascii="Times New Roman" w:hAnsi="Times New Roman" w:eastAsia="Noto Serif CJK SC"/>
      <w:color w:val="000000"/>
      <w:sz w:val="24"/>
    </w:rPr>
  </w:style>
  <w:style w:type="paragraph" w:styleId="ListBullet">
    <w:name w:val="List Bullet"/>
    <w:basedOn w:val="Normal"/>
    <w:uiPriority w:val="99"/>
    <w:unhideWhenUsed/>
    <w:qFormat/>
    <w:rsid w:val="00326f90"/>
    <w:pPr>
      <w:numPr>
        <w:ilvl w:val="0"/>
        <w:numId w:val="1"/>
      </w:numPr>
      <w:spacing w:before="0" w:after="0"/>
      <w:contextualSpacing/>
    </w:pPr>
    <w:rPr>
      <w:rFonts w:ascii="Times New Roman" w:hAnsi="Times New Roman" w:eastAsia="Noto Serif CJK SC"/>
      <w:color w:val="000000"/>
      <w:sz w:val="24"/>
    </w:rPr>
  </w:style>
  <w:style w:type="paragraph" w:styleId="ListBullet2">
    <w:name w:val="List Bullet 2"/>
    <w:basedOn w:val="Normal"/>
    <w:uiPriority w:val="99"/>
    <w:unhideWhenUsed/>
    <w:qFormat/>
    <w:rsid w:val="00326f90"/>
    <w:pPr>
      <w:numPr>
        <w:ilvl w:val="0"/>
        <w:numId w:val="2"/>
      </w:numPr>
      <w:spacing w:before="0" w:after="0"/>
      <w:contextualSpacing/>
    </w:pPr>
    <w:rPr>
      <w:rFonts w:ascii="Times New Roman" w:hAnsi="Times New Roman" w:eastAsia="Noto Serif CJK SC"/>
      <w:color w:val="000000"/>
      <w:sz w:val="24"/>
    </w:rPr>
  </w:style>
  <w:style w:type="paragraph" w:styleId="ListBullet3">
    <w:name w:val="List Bullet 3"/>
    <w:basedOn w:val="Normal"/>
    <w:uiPriority w:val="99"/>
    <w:unhideWhenUsed/>
    <w:qFormat/>
    <w:rsid w:val="00326f90"/>
    <w:pPr>
      <w:numPr>
        <w:ilvl w:val="0"/>
        <w:numId w:val="3"/>
      </w:numPr>
      <w:spacing w:before="0" w:after="0"/>
      <w:contextualSpacing/>
    </w:pPr>
    <w:rPr>
      <w:rFonts w:ascii="Times New Roman" w:hAnsi="Times New Roman" w:eastAsia="Noto Serif CJK SC"/>
      <w:color w:val="000000"/>
      <w:sz w:val="24"/>
    </w:rPr>
  </w:style>
  <w:style w:type="paragraph" w:styleId="ListNumber">
    <w:name w:val="List Number"/>
    <w:basedOn w:val="Normal"/>
    <w:uiPriority w:val="99"/>
    <w:unhideWhenUsed/>
    <w:qFormat/>
    <w:rsid w:val="00326f90"/>
    <w:pPr>
      <w:numPr>
        <w:ilvl w:val="0"/>
        <w:numId w:val="4"/>
      </w:numPr>
      <w:spacing w:before="0" w:after="0"/>
      <w:contextualSpacing/>
    </w:pPr>
    <w:rPr>
      <w:rFonts w:ascii="Times New Roman" w:hAnsi="Times New Roman" w:eastAsia="Noto Serif CJK SC"/>
      <w:color w:val="000000"/>
      <w:sz w:val="24"/>
    </w:rPr>
  </w:style>
  <w:style w:type="paragraph" w:styleId="ListNumber2">
    <w:name w:val="List Number 2"/>
    <w:basedOn w:val="Normal"/>
    <w:uiPriority w:val="99"/>
    <w:unhideWhenUsed/>
    <w:qFormat/>
    <w:rsid w:val="0029639d"/>
    <w:pPr>
      <w:numPr>
        <w:ilvl w:val="0"/>
        <w:numId w:val="5"/>
      </w:numPr>
      <w:spacing w:before="0" w:after="0"/>
      <w:contextualSpacing/>
    </w:pPr>
    <w:rPr>
      <w:rFonts w:ascii="Times New Roman" w:hAnsi="Times New Roman" w:eastAsia="Noto Serif CJK SC"/>
      <w:color w:val="000000"/>
      <w:sz w:val="24"/>
    </w:rPr>
  </w:style>
  <w:style w:type="paragraph" w:styleId="ListNumber3">
    <w:name w:val="List Number 3"/>
    <w:basedOn w:val="Normal"/>
    <w:uiPriority w:val="99"/>
    <w:unhideWhenUsed/>
    <w:qFormat/>
    <w:rsid w:val="0029639d"/>
    <w:pPr>
      <w:numPr>
        <w:ilvl w:val="0"/>
        <w:numId w:val="6"/>
      </w:numPr>
      <w:spacing w:before="0" w:after="0"/>
      <w:contextualSpacing/>
    </w:pPr>
    <w:rPr>
      <w:rFonts w:ascii="Times New Roman" w:hAnsi="Times New Roman" w:eastAsia="Noto Serif CJK SC"/>
      <w:color w:val="000000"/>
      <w:sz w:val="24"/>
    </w:rPr>
  </w:style>
  <w:style w:type="paragraph" w:styleId="ListContinue">
    <w:name w:val="List Continue"/>
    <w:basedOn w:val="Normal"/>
    <w:uiPriority w:val="99"/>
    <w:unhideWhenUsed/>
    <w:qFormat/>
    <w:rsid w:val="0029639d"/>
    <w:pPr>
      <w:spacing w:before="0" w:after="120"/>
      <w:ind w:left="360" w:firstLine="480"/>
      <w:contextualSpacing/>
    </w:pPr>
    <w:rPr>
      <w:rFonts w:ascii="Times New Roman" w:hAnsi="Times New Roman" w:eastAsia="Noto Serif CJK SC"/>
      <w:color w:val="000000"/>
      <w:sz w:val="24"/>
    </w:rPr>
  </w:style>
  <w:style w:type="paragraph" w:styleId="ListContinue2">
    <w:name w:val="List Continue 2"/>
    <w:basedOn w:val="Normal"/>
    <w:uiPriority w:val="99"/>
    <w:unhideWhenUsed/>
    <w:qFormat/>
    <w:rsid w:val="0029639d"/>
    <w:pPr>
      <w:spacing w:before="0" w:after="120"/>
      <w:ind w:left="720" w:firstLine="480"/>
      <w:contextualSpacing/>
    </w:pPr>
    <w:rPr>
      <w:rFonts w:ascii="Times New Roman" w:hAnsi="Times New Roman" w:eastAsia="Noto Serif CJK SC"/>
      <w:color w:val="000000"/>
      <w:sz w:val="24"/>
    </w:rPr>
  </w:style>
  <w:style w:type="paragraph" w:styleId="ListContinue3">
    <w:name w:val="List Continue 3"/>
    <w:basedOn w:val="Normal"/>
    <w:uiPriority w:val="99"/>
    <w:unhideWhenUsed/>
    <w:qFormat/>
    <w:rsid w:val="0029639d"/>
    <w:pPr>
      <w:spacing w:before="0" w:after="120"/>
      <w:ind w:left="1080" w:firstLine="480"/>
      <w:contextualSpacing/>
    </w:pPr>
    <w:rPr>
      <w:rFonts w:ascii="Times New Roman" w:hAnsi="Times New Roman" w:eastAsia="Noto Serif CJK SC"/>
      <w:color w:val="000000"/>
      <w:sz w:val="24"/>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Times New Roman" w:hAnsi="Times New Roman" w:eastAsia="Noto Serif CJK SC" w:cs=""/>
      <w:color w:val="000000"/>
      <w:kern w:val="0"/>
      <w:sz w:val="24"/>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Noto Serif CJK SC"/>
      <w:i/>
      <w:iCs/>
      <w:color w:val="000000"/>
      <w:sz w:val="24"/>
    </w:rPr>
  </w:style>
  <w:style w:type="paragraph" w:styleId="Caption1">
    <w:name w:val="caption"/>
    <w:basedOn w:val="Normal"/>
    <w:next w:val="Normal"/>
    <w:uiPriority w:val="35"/>
    <w:semiHidden/>
    <w:unhideWhenUsed/>
    <w:qFormat/>
    <w:rsid w:val="00fc693f"/>
    <w:pPr>
      <w:spacing w:lineRule="auto" w:line="276" w:before="100" w:after="120"/>
      <w:ind w:hanging="0"/>
      <w:jc w:val="center"/>
    </w:pPr>
    <w:rPr>
      <w:rFonts w:ascii="Times New Roman" w:hAnsi="Times New Roman" w:eastAsia="Noto Serif CJK SC"/>
      <w:b w:val="false"/>
      <w:bCs/>
      <w:i w:val="false"/>
      <w:color w:val="000000"/>
      <w:sz w:val="21"/>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firstLine="480"/>
    </w:pPr>
    <w:rPr>
      <w:rFonts w:ascii="Times New Roman" w:hAnsi="Times New Roman" w:eastAsia="Noto Serif CJK SC"/>
      <w:b/>
      <w:bCs/>
      <w:i/>
      <w:iCs/>
      <w:color w:val="000000"/>
      <w:sz w:val="24"/>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ind w:hanging="0"/>
      <w:outlineLvl w:val="9"/>
    </w:pPr>
    <w:rPr>
      <w:rFonts w:ascii="Times New Roman" w:hAnsi="Times New Roman" w:eastAsia="Noto Serif CJK SC"/>
      <w:color w:val="000000"/>
      <w:sz w:val="24"/>
    </w:rPr>
  </w:style>
  <w:style w:type="paragraph" w:styleId="Contents1">
    <w:name w:val="TOC 1"/>
    <w:basedOn w:val="Index"/>
    <w:pPr>
      <w:tabs>
        <w:tab w:val="clear" w:pos="720"/>
        <w:tab w:val="right" w:pos="9014" w:leader="dot"/>
      </w:tabs>
      <w:ind w:left="0" w:hanging="0"/>
    </w:pPr>
    <w:rPr/>
  </w:style>
  <w:style w:type="paragraph" w:styleId="Contents2">
    <w:name w:val="TOC 2"/>
    <w:basedOn w:val="Index"/>
    <w:pPr>
      <w:tabs>
        <w:tab w:val="clear" w:pos="720"/>
        <w:tab w:val="right" w:pos="8731"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yperlink" Target="https://doi.org/10.1016/j.ijforecast.2014.08.008" TargetMode="External"/><Relationship Id="rId23" Type="http://schemas.openxmlformats.org/officeDocument/2006/relationships/hyperlink" Target="https://doi.org/10.1016/j.rser.2017.05.234" TargetMode="External"/><Relationship Id="rId24" Type="http://schemas.openxmlformats.org/officeDocument/2006/relationships/hyperlink" Target="https://doi.org/10.1016/j.apenergy.2021.116983" TargetMode="External"/><Relationship Id="rId25" Type="http://schemas.openxmlformats.org/officeDocument/2006/relationships/hyperlink" Target="https://proceedings.mlr.press/v306/zhang26co.html" TargetMode="External"/><Relationship Id="rId26" Type="http://schemas.openxmlformats.org/officeDocument/2006/relationships/hyperlink" Target="https://doi.org/10.1609/aaai.v37i9.26317" TargetMode="External"/><Relationship Id="rId27" Type="http://schemas.openxmlformats.org/officeDocument/2006/relationships/hyperlink" Target="https://doi.org/10.1038/323533a0" TargetMode="External"/><Relationship Id="rId28" Type="http://schemas.openxmlformats.org/officeDocument/2006/relationships/hyperlink" Target="https://doi.org/10.1111/j.2517-6161.1996.tb02080.x" TargetMode="External"/><Relationship Id="rId29" Type="http://schemas.openxmlformats.org/officeDocument/2006/relationships/hyperlink" Target="https://doi.org/10.1080/01621459.2017.1307116" TargetMode="External"/><Relationship Id="rId30" Type="http://schemas.openxmlformats.org/officeDocument/2006/relationships/hyperlink" Target="https://doi.org/10.1016/j.softx.2025.102200" TargetMode="External"/><Relationship Id="rId31" Type="http://schemas.openxmlformats.org/officeDocument/2006/relationships/hyperlink" Target="https://proceedings.neurips.cc/paper_files/paper/2017/hash/6449f44a102fde848669bdd9eb6b76fa-Abstract.html" TargetMode="External"/><Relationship Id="rId32" Type="http://schemas.openxmlformats.org/officeDocument/2006/relationships/hyperlink" Target="https://doi.org/10.1145/2939672.2939785" TargetMode="External"/><Relationship Id="rId33" Type="http://schemas.openxmlformats.org/officeDocument/2006/relationships/hyperlink" Target="https://arxiv.org/abs/2211.14730" TargetMode="External"/><Relationship Id="rId34" Type="http://schemas.openxmlformats.org/officeDocument/2006/relationships/hyperlink" Target="https://openreview.net/forum?id=cGDAkQo1C0p" TargetMode="External"/><Relationship Id="rId35" Type="http://schemas.openxmlformats.org/officeDocument/2006/relationships/hyperlink" Target="https://arxiv.org/abs/2508.17515" TargetMode="External"/><Relationship Id="rId36" Type="http://schemas.openxmlformats.org/officeDocument/2006/relationships/hyperlink" Target="https://proceedings.neurips.cc/paper_files/paper/2024/hash/0113ef4642264adc2e6924a3cbbdf532-Abstract-Conference.html" TargetMode="External"/><Relationship Id="rId37" Type="http://schemas.openxmlformats.org/officeDocument/2006/relationships/hyperlink" Target="https://arxiv.org/abs/2508.04875" TargetMode="External"/><Relationship Id="rId38" Type="http://schemas.openxmlformats.org/officeDocument/2006/relationships/hyperlink" Target="https://doi.org/10.1016/j.eneco.2023.106843" TargetMode="External"/><Relationship Id="rId39" Type="http://schemas.openxmlformats.org/officeDocument/2006/relationships/hyperlink" Target="https://doi.org/10.1109/ACCESS.2026.3672716" TargetMode="External"/><Relationship Id="rId40" Type="http://schemas.openxmlformats.org/officeDocument/2006/relationships/hyperlink" Target="https://doi.org/10.1007/s00180-014-0523-0" TargetMode="External"/><Relationship Id="rId41" Type="http://schemas.openxmlformats.org/officeDocument/2006/relationships/hyperlink" Target="https://doi.org/10.1609/aaai.v37i6.25854" TargetMode="External"/><Relationship Id="rId42" Type="http://schemas.openxmlformats.org/officeDocument/2006/relationships/hyperlink" Target="https://proceedings.mlr.press/v48/gal16.html" TargetMode="External"/><Relationship Id="rId43" Type="http://schemas.openxmlformats.org/officeDocument/2006/relationships/hyperlink" Target="https://arxiv.org/abs/2604.14739" TargetMode="External"/><Relationship Id="rId44" Type="http://schemas.openxmlformats.org/officeDocument/2006/relationships/hyperlink" Target="https://doi.org/10.1145/3765611.3815392" TargetMode="External"/><Relationship Id="rId45" Type="http://schemas.openxmlformats.org/officeDocument/2006/relationships/hyperlink" Target="https://arxiv.org/abs/2605.13986" TargetMode="External"/><Relationship Id="rId46" Type="http://schemas.openxmlformats.org/officeDocument/2006/relationships/hyperlink" Target="https://www.nature.com/articles/s41586-024-08328-6" TargetMode="External"/><Relationship Id="rId47" Type="http://schemas.openxmlformats.org/officeDocument/2006/relationships/hyperlink" Target="https://arxiv.org/abs/2510.15821" TargetMode="External"/><Relationship Id="rId48" Type="http://schemas.openxmlformats.org/officeDocument/2006/relationships/hyperlink" Target="https://arxiv.org/abs/2511.11698" TargetMode="External"/><Relationship Id="rId49" Type="http://schemas.openxmlformats.org/officeDocument/2006/relationships/hyperlink" Target="https://proceedings.mlr.press/v235/das24c.html" TargetMode="External"/><Relationship Id="rId50" Type="http://schemas.openxmlformats.org/officeDocument/2006/relationships/hyperlink" Target="https://www.aemo.com.au/energy-systems/electricity/national-electricity-market-nem/data-nem/aggregated-data" TargetMode="External"/><Relationship Id="rId51" Type="http://schemas.openxmlformats.org/officeDocument/2006/relationships/header" Target="header3.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39</Pages>
  <Words>18473</Words>
  <Characters>30237</Characters>
  <CharactersWithSpaces>31777</CharactersWithSpaces>
  <Paragraphs>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2026-10-26T11:55:08Z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