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RESEARCH PROGRESS REPORT</w:t>
      </w:r>
    </w:p>
    <w:p>
      <w:pPr>
        <w:pStyle w:val="Title"/>
      </w:pPr>
      <w:r>
        <w:t>面向电价尖峰的</w:t>
        <w:br/>
        <w:t>概率预测研究</w:t>
        <w:br/>
        <w:t>阶段汇报</w:t>
      </w:r>
    </w:p>
    <w:p>
      <w:pPr>
        <w:pStyle w:val="Subtitle"/>
      </w:pPr>
      <w:r>
        <w:t>基线复现 · 趋势—事件建模 · 历史校正与稳健性</w:t>
      </w:r>
    </w:p>
    <w:p>
      <w:r>
        <w:br/>
      </w:r>
    </w:p>
    <w:tbl>
      <w:tblPr>
        <w:tblW w:type="auto" w:w="0"/>
        <w:jc w:val="center"/>
        <w:tblLayout w:type="fixed"/>
        <w:tblLook w:firstColumn="1" w:firstRow="1" w:lastColumn="0" w:lastRow="0" w:noHBand="0" w:noVBand="1" w:val="04A0"/>
      </w:tblPr>
      <w:tblGrid>
        <w:gridCol w:w="1701"/>
        <w:gridCol w:w="7654"/>
      </w:tblGrid>
      <w:tr>
        <w:trPr>
          <w:cantSplit/>
          <w:tblHeader/>
        </w:trPr>
        <w:tc>
          <w:tcPr>
            <w:tcW w:type="dxa" w:w="1701"/>
            <w:vAlign w:val="center"/>
            <w:shd w:fill="143E52"/>
          </w:tcPr>
          <w:p>
            <w:pPr>
              <w:keepNext/>
              <w:spacing w:after="60" w:before="60" w:line="259" w:lineRule="auto"/>
            </w:pPr>
            <w:r>
              <w:rPr>
                <w:rFonts w:ascii="Calibri" w:hAnsi="Calibri" w:eastAsia="Noto Sans CJK SC"/>
                <w:b/>
                <w:color w:val="FFFFFF"/>
                <w:sz w:val="20"/>
              </w:rPr>
              <w:t>报告信息</w:t>
            </w:r>
          </w:p>
        </w:tc>
        <w:tc>
          <w:tcPr>
            <w:tcW w:type="dxa" w:w="7654"/>
            <w:vAlign w:val="center"/>
            <w:shd w:fill="143E52"/>
          </w:tcPr>
          <w:p>
            <w:pPr>
              <w:keepNext/>
              <w:spacing w:after="60" w:before="60" w:line="259" w:lineRule="auto"/>
            </w:pPr>
            <w:r>
              <w:rPr>
                <w:rFonts w:ascii="Calibri" w:hAnsi="Calibri" w:eastAsia="Noto Sans CJK SC"/>
                <w:b/>
                <w:color w:val="FFFFFF"/>
                <w:sz w:val="20"/>
              </w:rPr>
              <w:t>内容</w:t>
            </w:r>
          </w:p>
        </w:tc>
      </w:tr>
      <w:tr>
        <w:trPr>
          <w:cantSplit/>
        </w:trPr>
        <w:tc>
          <w:tcPr>
            <w:tcW w:type="dxa" w:w="1701"/>
            <w:vAlign w:val="center"/>
            <w:shd w:fill="EEF4F7"/>
          </w:tcPr>
          <w:p>
            <w:pPr>
              <w:keepNext/>
              <w:spacing w:after="60" w:before="60" w:line="259" w:lineRule="auto"/>
            </w:pPr>
            <w:r>
              <w:rPr>
                <w:rFonts w:ascii="Calibri" w:hAnsi="Calibri" w:eastAsia="Noto Sans CJK SC"/>
                <w:b w:val="0"/>
                <w:color w:val="172F3B"/>
                <w:sz w:val="20"/>
              </w:rPr>
              <w:t>汇报日期</w:t>
            </w:r>
          </w:p>
        </w:tc>
        <w:tc>
          <w:tcPr>
            <w:tcW w:type="dxa" w:w="7654"/>
            <w:vAlign w:val="center"/>
            <w:shd w:fill="EEF4F7"/>
          </w:tcPr>
          <w:p>
            <w:pPr>
              <w:keepNext/>
              <w:spacing w:after="60" w:before="60" w:line="259" w:lineRule="auto"/>
            </w:pPr>
            <w:r>
              <w:rPr>
                <w:rFonts w:ascii="Calibri" w:hAnsi="Calibri" w:eastAsia="Noto Sans CJK SC"/>
                <w:b w:val="0"/>
                <w:color w:val="172F3B"/>
                <w:sz w:val="20"/>
              </w:rPr>
              <w:t>2026年10月26日</w:t>
            </w:r>
          </w:p>
        </w:tc>
      </w:tr>
      <w:tr>
        <w:trPr>
          <w:cantSplit/>
        </w:trPr>
        <w:tc>
          <w:tcPr>
            <w:tcW w:type="dxa" w:w="1701"/>
            <w:vAlign w:val="center"/>
            <w:shd w:fill="FFFFFF"/>
          </w:tcPr>
          <w:p>
            <w:pPr>
              <w:keepNext/>
              <w:spacing w:after="60" w:before="60" w:line="259" w:lineRule="auto"/>
            </w:pPr>
            <w:r>
              <w:rPr>
                <w:rFonts w:ascii="Calibri" w:hAnsi="Calibri" w:eastAsia="Noto Sans CJK SC"/>
                <w:b w:val="0"/>
                <w:color w:val="172F3B"/>
                <w:sz w:val="20"/>
              </w:rPr>
              <w:t>研究对象</w:t>
            </w:r>
          </w:p>
        </w:tc>
        <w:tc>
          <w:tcPr>
            <w:tcW w:type="dxa" w:w="7654"/>
            <w:vAlign w:val="center"/>
            <w:shd w:fill="FFFFFF"/>
          </w:tcPr>
          <w:p>
            <w:pPr>
              <w:keepNext/>
              <w:spacing w:after="60" w:before="60" w:line="259" w:lineRule="auto"/>
            </w:pPr>
            <w:r>
              <w:rPr>
                <w:rFonts w:ascii="Calibri" w:hAnsi="Calibri" w:eastAsia="Noto Sans CJK SC"/>
                <w:b w:val="0"/>
                <w:color w:val="172F3B"/>
                <w:sz w:val="20"/>
              </w:rPr>
              <w:t>澳大利亚 NEM：NSW1、QLD1、TAS1</w:t>
            </w:r>
          </w:p>
        </w:tc>
      </w:tr>
      <w:tr>
        <w:trPr>
          <w:cantSplit/>
        </w:trPr>
        <w:tc>
          <w:tcPr>
            <w:tcW w:type="dxa" w:w="1701"/>
            <w:vAlign w:val="center"/>
            <w:shd w:fill="EEF4F7"/>
          </w:tcPr>
          <w:p>
            <w:pPr>
              <w:keepNext/>
              <w:spacing w:after="60" w:before="60" w:line="259" w:lineRule="auto"/>
            </w:pPr>
            <w:r>
              <w:rPr>
                <w:rFonts w:ascii="Calibri" w:hAnsi="Calibri" w:eastAsia="Noto Sans CJK SC"/>
                <w:b w:val="0"/>
                <w:color w:val="172F3B"/>
                <w:sz w:val="20"/>
              </w:rPr>
              <w:t>预测任务</w:t>
            </w:r>
          </w:p>
        </w:tc>
        <w:tc>
          <w:tcPr>
            <w:tcW w:type="dxa" w:w="7654"/>
            <w:vAlign w:val="center"/>
            <w:shd w:fill="EEF4F7"/>
          </w:tcPr>
          <w:p>
            <w:pPr>
              <w:keepNext/>
              <w:spacing w:after="60" w:before="60" w:line="259" w:lineRule="auto"/>
            </w:pPr>
            <w:r>
              <w:rPr>
                <w:rFonts w:ascii="Calibri" w:hAnsi="Calibri" w:eastAsia="Noto Sans CJK SC"/>
                <w:b w:val="0"/>
                <w:color w:val="172F3B"/>
                <w:sz w:val="20"/>
              </w:rPr>
              <w:t>过去72小时 → 未来24小时；每小时滚动起报</w:t>
            </w:r>
          </w:p>
        </w:tc>
      </w:tr>
      <w:tr>
        <w:trPr>
          <w:cantSplit/>
        </w:trPr>
        <w:tc>
          <w:tcPr>
            <w:tcW w:type="dxa" w:w="1701"/>
            <w:vAlign w:val="center"/>
            <w:shd w:fill="FFFFFF"/>
          </w:tcPr>
          <w:p>
            <w:pPr>
              <w:keepNext/>
              <w:spacing w:after="60" w:before="60" w:line="259" w:lineRule="auto"/>
            </w:pPr>
            <w:r>
              <w:rPr>
                <w:rFonts w:ascii="Calibri" w:hAnsi="Calibri" w:eastAsia="Noto Sans CJK SC"/>
                <w:b w:val="0"/>
                <w:color w:val="172F3B"/>
                <w:sz w:val="20"/>
              </w:rPr>
              <w:t>方法版本</w:t>
            </w:r>
          </w:p>
        </w:tc>
        <w:tc>
          <w:tcPr>
            <w:tcW w:type="dxa" w:w="7654"/>
            <w:vAlign w:val="center"/>
            <w:shd w:fill="FFFFFF"/>
          </w:tcPr>
          <w:p>
            <w:pPr>
              <w:keepNext/>
              <w:spacing w:after="60" w:before="60" w:line="259" w:lineRule="auto"/>
            </w:pPr>
            <w:r>
              <w:rPr>
                <w:rFonts w:ascii="Calibri" w:hAnsi="Calibri" w:eastAsia="Noto Sans CJK SC"/>
                <w:b w:val="0"/>
                <w:color w:val="172F3B"/>
                <w:sz w:val="20"/>
              </w:rPr>
              <w:t>Full_joint / asymmetric_balance_20261023</w:t>
            </w:r>
          </w:p>
        </w:tc>
      </w:tr>
      <w:tr>
        <w:trPr>
          <w:cantSplit/>
        </w:trPr>
        <w:tc>
          <w:tcPr>
            <w:tcW w:type="dxa" w:w="1701"/>
            <w:vAlign w:val="center"/>
            <w:shd w:fill="EEF4F7"/>
          </w:tcPr>
          <w:p>
            <w:pPr>
              <w:keepNext/>
              <w:spacing w:after="60" w:before="60" w:line="259" w:lineRule="auto"/>
            </w:pPr>
            <w:r>
              <w:rPr>
                <w:rFonts w:ascii="Calibri" w:hAnsi="Calibri" w:eastAsia="Noto Sans CJK SC"/>
                <w:b w:val="0"/>
                <w:color w:val="172F3B"/>
                <w:sz w:val="20"/>
              </w:rPr>
              <w:t>证据截至</w:t>
            </w:r>
          </w:p>
        </w:tc>
        <w:tc>
          <w:tcPr>
            <w:tcW w:type="dxa" w:w="7654"/>
            <w:vAlign w:val="center"/>
            <w:shd w:fill="EEF4F7"/>
          </w:tcPr>
          <w:p>
            <w:pPr>
              <w:keepNext/>
              <w:spacing w:after="60" w:before="60" w:line="259" w:lineRule="auto"/>
            </w:pPr>
            <w:r>
              <w:rPr>
                <w:rFonts w:ascii="Calibri" w:hAnsi="Calibri" w:eastAsia="Noto Sans CJK SC"/>
                <w:b w:val="0"/>
                <w:color w:val="172F3B"/>
                <w:sz w:val="20"/>
              </w:rPr>
              <w:t>正式主表更新至2026年10月24日；本报告补充诊断另行标注</w:t>
            </w:r>
          </w:p>
        </w:tc>
      </w:tr>
      <w:tr>
        <w:trPr>
          <w:cantSplit/>
        </w:trPr>
        <w:tc>
          <w:tcPr>
            <w:tcW w:type="dxa" w:w="1701"/>
            <w:vAlign w:val="center"/>
            <w:shd w:fill="FFFFFF"/>
          </w:tcPr>
          <w:p>
            <w:pPr>
              <w:spacing w:after="60" w:before="60" w:line="259" w:lineRule="auto"/>
            </w:pPr>
            <w:r>
              <w:rPr>
                <w:rFonts w:ascii="Calibri" w:hAnsi="Calibri" w:eastAsia="Noto Sans CJK SC"/>
                <w:b w:val="0"/>
                <w:color w:val="172F3B"/>
                <w:sz w:val="20"/>
              </w:rPr>
              <w:t>覆盖范围</w:t>
            </w:r>
          </w:p>
        </w:tc>
        <w:tc>
          <w:tcPr>
            <w:tcW w:type="dxa" w:w="7654"/>
            <w:vAlign w:val="center"/>
            <w:shd w:fill="FFFFFF"/>
          </w:tcPr>
          <w:p>
            <w:pPr>
              <w:spacing w:after="60" w:before="60" w:line="259" w:lineRule="auto"/>
            </w:pPr>
            <w:r>
              <w:rPr>
                <w:rFonts w:ascii="Calibri" w:hAnsi="Calibri" w:eastAsia="Noto Sans CJK SC"/>
                <w:b w:val="0"/>
                <w:color w:val="172F3B"/>
                <w:sz w:val="20"/>
              </w:rPr>
              <w:t>19个基线、6个联合方法输出；原始价格与五分位预测</w:t>
            </w:r>
          </w:p>
        </w:tc>
      </w:tr>
    </w:tbl>
    <w:p>
      <w:pPr>
        <w:spacing w:after="0"/>
      </w:pPr>
    </w:p>
    <w:p>
      <w:r>
        <w:t>本报告依据工作区的代码、配置、冻结预测与实验记录编制。研究结论以最新同协议结果为主；历史试验用于解释研究路径，未来方案标明为计划。</w:t>
      </w:r>
    </w:p>
    <w:p>
      <w:pPr>
        <w:pStyle w:val="Heading1"/>
        <w:pageBreakBefore/>
      </w:pPr>
      <w:r>
        <w:t>阶段结论与汇报提要</w:t>
      </w:r>
    </w:p>
    <w:p>
      <w:r>
        <w:t>本阶段已完成电价预测公共数据流程、19个基线的适配与统一评估，并将趋势—事件分解思路从直接预测推进到“强树模型基座＋成熟历史检索＋联合校正”。当前方法能够在部分地区和部分误差维度上产生收益，但尚未形成稳定优于最强树基线的总体结果。研究重点应从继续扩展模型数量，转向解释何时值得校正、尖峰误差改善能否覆盖常态时段代价，以及概率区间的校准可靠性。</w:t>
      </w:r>
    </w:p>
    <w:p>
      <w:r>
        <w:t>当前正式结果：Full_joint 宏 MAE 为37.783±0.439，五分位 QS 为24.392±0.188；LightGBM 为37.101±0.015和24.191±0.005。Full_joint 的地区平均 RMSE 从LightGBM的277.064降至275.397，但80%/90%区间覆盖率降至68.56%/82.70%。这些结果表明点误差、极端误差与区间可靠性之间仍存在明显权衡，不能据总体RMSE的下降宣布尖峰问题已解决。</w:t>
      </w:r>
    </w:p>
    <w:tbl>
      <w:tblPr>
        <w:tblW w:type="auto" w:w="0"/>
        <w:jc w:val="center"/>
        <w:tblLayout w:type="fixed"/>
        <w:tblLook w:firstColumn="1" w:firstRow="1" w:lastColumn="0" w:lastRow="0" w:noHBand="0" w:noVBand="1" w:val="04A0"/>
      </w:tblPr>
      <w:tblGrid>
        <w:gridCol w:w="4649"/>
        <w:gridCol w:w="4706"/>
      </w:tblGrid>
      <w:tr>
        <w:trPr>
          <w:cantSplit/>
          <w:tblHeader/>
        </w:trPr>
        <w:tc>
          <w:tcPr>
            <w:tcW w:type="dxa" w:w="4649"/>
            <w:vAlign w:val="center"/>
            <w:shd w:fill="143E52"/>
          </w:tcPr>
          <w:p>
            <w:pPr>
              <w:keepNext/>
              <w:spacing w:after="60" w:before="60" w:line="259" w:lineRule="auto"/>
            </w:pPr>
            <w:r>
              <w:rPr>
                <w:rFonts w:ascii="Calibri" w:hAnsi="Calibri" w:eastAsia="Noto Sans CJK SC"/>
                <w:b/>
                <w:color w:val="FFFFFF"/>
                <w:sz w:val="18"/>
              </w:rPr>
              <w:t>已完成</w:t>
            </w:r>
          </w:p>
        </w:tc>
        <w:tc>
          <w:tcPr>
            <w:tcW w:type="dxa" w:w="4706"/>
            <w:vAlign w:val="center"/>
            <w:shd w:fill="143E52"/>
          </w:tcPr>
          <w:p>
            <w:pPr>
              <w:keepNext/>
              <w:spacing w:after="60" w:before="60" w:line="259" w:lineRule="auto"/>
            </w:pPr>
            <w:r>
              <w:rPr>
                <w:rFonts w:ascii="Calibri" w:hAnsi="Calibri" w:eastAsia="Noto Sans CJK SC"/>
                <w:b/>
                <w:color w:val="FFFFFF"/>
                <w:sz w:val="18"/>
              </w:rPr>
              <w:t>尚未解决</w:t>
            </w:r>
          </w:p>
        </w:tc>
      </w:tr>
      <w:tr>
        <w:trPr>
          <w:cantSplit/>
        </w:trPr>
        <w:tc>
          <w:tcPr>
            <w:tcW w:type="dxa" w:w="4649"/>
            <w:vAlign w:val="center"/>
            <w:shd w:fill="EEF4F7"/>
          </w:tcPr>
          <w:p>
            <w:pPr>
              <w:keepNext/>
              <w:spacing w:after="60" w:before="60" w:line="259" w:lineRule="auto"/>
            </w:pPr>
            <w:r>
              <w:rPr>
                <w:rFonts w:ascii="Calibri" w:hAnsi="Calibri" w:eastAsia="Noto Sans CJK SC"/>
                <w:b w:val="0"/>
                <w:color w:val="172F3B"/>
                <w:sz w:val="18"/>
              </w:rPr>
              <w:t>19个基线的共同样本评分与完整来源记录</w:t>
            </w:r>
          </w:p>
        </w:tc>
        <w:tc>
          <w:tcPr>
            <w:tcW w:type="dxa" w:w="4706"/>
            <w:vAlign w:val="center"/>
            <w:shd w:fill="EEF4F7"/>
          </w:tcPr>
          <w:p>
            <w:pPr>
              <w:keepNext/>
              <w:spacing w:after="60" w:before="60" w:line="259" w:lineRule="auto"/>
            </w:pPr>
            <w:r>
              <w:rPr>
                <w:rFonts w:ascii="Calibri" w:hAnsi="Calibri" w:eastAsia="Noto Sans CJK SC"/>
                <w:b w:val="0"/>
                <w:color w:val="172F3B"/>
                <w:sz w:val="18"/>
              </w:rPr>
              <w:t>各模型等预算超参数搜索尚未执行</w:t>
            </w:r>
          </w:p>
        </w:tc>
      </w:tr>
      <w:tr>
        <w:trPr>
          <w:cantSplit/>
        </w:trPr>
        <w:tc>
          <w:tcPr>
            <w:tcW w:type="dxa" w:w="4649"/>
            <w:vAlign w:val="center"/>
            <w:shd w:fill="FFFFFF"/>
          </w:tcPr>
          <w:p>
            <w:pPr>
              <w:keepNext/>
              <w:spacing w:after="60" w:before="60" w:line="259" w:lineRule="auto"/>
            </w:pPr>
            <w:r>
              <w:rPr>
                <w:rFonts w:ascii="Calibri" w:hAnsi="Calibri" w:eastAsia="Noto Sans CJK SC"/>
                <w:b w:val="0"/>
                <w:color w:val="172F3B"/>
                <w:sz w:val="18"/>
              </w:rPr>
              <w:t>当前方法三神经种子、三地区评估</w:t>
            </w:r>
          </w:p>
        </w:tc>
        <w:tc>
          <w:tcPr>
            <w:tcW w:type="dxa" w:w="4706"/>
            <w:vAlign w:val="center"/>
            <w:shd w:fill="FFFFFF"/>
          </w:tcPr>
          <w:p>
            <w:pPr>
              <w:keepNext/>
              <w:spacing w:after="60" w:before="60" w:line="259" w:lineRule="auto"/>
            </w:pPr>
            <w:r>
              <w:rPr>
                <w:rFonts w:ascii="Calibri" w:hAnsi="Calibri" w:eastAsia="Noto Sans CJK SC"/>
                <w:b w:val="0"/>
                <w:color w:val="172F3B"/>
                <w:sz w:val="18"/>
              </w:rPr>
              <w:t>仅神经部分随机变化，尚非整套树＋神经独立重复</w:t>
            </w:r>
          </w:p>
        </w:tc>
      </w:tr>
      <w:tr>
        <w:trPr>
          <w:cantSplit/>
        </w:trPr>
        <w:tc>
          <w:tcPr>
            <w:tcW w:type="dxa" w:w="4649"/>
            <w:vAlign w:val="center"/>
            <w:shd w:fill="EEF4F7"/>
          </w:tcPr>
          <w:p>
            <w:pPr>
              <w:keepNext/>
              <w:spacing w:after="60" w:before="60" w:line="259" w:lineRule="auto"/>
            </w:pPr>
            <w:r>
              <w:rPr>
                <w:rFonts w:ascii="Calibri" w:hAnsi="Calibri" w:eastAsia="Noto Sans CJK SC"/>
                <w:b w:val="0"/>
                <w:color w:val="172F3B"/>
                <w:sz w:val="18"/>
              </w:rPr>
              <w:t>Anchor平衡损失、非对称尺度、校正限幅等开发实验</w:t>
            </w:r>
          </w:p>
        </w:tc>
        <w:tc>
          <w:tcPr>
            <w:tcW w:type="dxa" w:w="4706"/>
            <w:vAlign w:val="center"/>
            <w:shd w:fill="EEF4F7"/>
          </w:tcPr>
          <w:p>
            <w:pPr>
              <w:keepNext/>
              <w:spacing w:after="60" w:before="60" w:line="259" w:lineRule="auto"/>
            </w:pPr>
            <w:r>
              <w:rPr>
                <w:rFonts w:ascii="Calibri" w:hAnsi="Calibri" w:eastAsia="Noto Sans CJK SC"/>
                <w:b w:val="0"/>
                <w:color w:val="172F3B"/>
                <w:sz w:val="18"/>
              </w:rPr>
              <w:t>尚无方案通过全部预先设定的稳定性门槛</w:t>
            </w:r>
          </w:p>
        </w:tc>
      </w:tr>
      <w:tr>
        <w:trPr>
          <w:cantSplit/>
        </w:trPr>
        <w:tc>
          <w:tcPr>
            <w:tcW w:type="dxa" w:w="4649"/>
            <w:vAlign w:val="center"/>
            <w:shd w:fill="FFFFFF"/>
          </w:tcPr>
          <w:p>
            <w:pPr>
              <w:spacing w:after="60" w:before="60" w:line="259" w:lineRule="auto"/>
            </w:pPr>
            <w:r>
              <w:rPr>
                <w:rFonts w:ascii="Calibri" w:hAnsi="Calibri" w:eastAsia="Noto Sans CJK SC"/>
                <w:b w:val="0"/>
                <w:color w:val="172F3B"/>
                <w:sz w:val="18"/>
              </w:rPr>
              <w:t>机理状态证据门的实现与短流程检查</w:t>
            </w:r>
          </w:p>
        </w:tc>
        <w:tc>
          <w:tcPr>
            <w:tcW w:type="dxa" w:w="4706"/>
            <w:vAlign w:val="center"/>
            <w:shd w:fill="FFFFFF"/>
          </w:tcPr>
          <w:p>
            <w:pPr>
              <w:spacing w:after="60" w:before="60" w:line="259" w:lineRule="auto"/>
            </w:pPr>
            <w:r>
              <w:rPr>
                <w:rFonts w:ascii="Calibri" w:hAnsi="Calibri" w:eastAsia="Noto Sans CJK SC"/>
                <w:b w:val="0"/>
                <w:color w:val="172F3B"/>
                <w:sz w:val="18"/>
              </w:rPr>
              <w:t>假设证据不一致，完整确认尚未启动</w:t>
            </w:r>
          </w:p>
        </w:tc>
      </w:tr>
    </w:tbl>
    <w:p>
      <w:pPr>
        <w:spacing w:after="0"/>
      </w:pPr>
    </w:p>
    <w:p>
      <w:r>
        <w:t>补充尖峰诊断：对同一批冻结预测复算后，Full_joint在真实价格&gt;300及&gt;1000时的MAE较LightGBM分别改善2.10%和0.81%，但常态0–300时段退化4.93%，两个尖峰切片的QS也未改善。下一阶段应重点解决“尖峰点预测收益—常态代价—上尾可靠性”的联合约束。</w:t>
      </w:r>
    </w:p>
    <w:p>
      <w:pPr>
        <w:pStyle w:val="Heading2"/>
      </w:pPr>
      <w:r>
        <w:t>阅读顺序</w:t>
      </w:r>
    </w:p>
    <w:p>
      <w:r>
        <w:t>1 研究背景与任务定义：研究什么、为什么尖峰难预测。</w:t>
      </w:r>
    </w:p>
    <w:p>
      <w:r>
        <w:t>2 实验协议与当前研究阶段：数据、信息边界、评价与完成情况。</w:t>
      </w:r>
    </w:p>
    <w:p>
      <w:r>
        <w:t>3 全部基线方法：原论文机制、引用、本地实现与局限。</w:t>
      </w:r>
    </w:p>
    <w:p>
      <w:r>
        <w:t>4 本研究方法与已尝试路线：从双场到当前联合校正。</w:t>
      </w:r>
    </w:p>
    <w:p>
      <w:r>
        <w:t>5 总体结果与尖峰诊断：19个基线和当前方法完整比较。</w:t>
      </w:r>
    </w:p>
    <w:p>
      <w:r>
        <w:t>6 下一步研究思路：可证伪的假设、对照实验与验收标准。</w:t>
      </w:r>
    </w:p>
    <w:p>
      <w:r>
        <w:t>参考文献与附录：文献更正、结果来源和历史结构对照。</w:t>
      </w:r>
    </w:p>
    <w:p>
      <w:pPr>
        <w:pStyle w:val="Heading1"/>
        <w:pageBreakBefore/>
      </w:pPr>
      <w:r>
        <w:t>1 研究背景与任务定义</w:t>
      </w:r>
    </w:p>
    <w:p>
      <w:pPr>
        <w:pStyle w:val="Heading2"/>
      </w:pPr>
      <w:r>
        <w:t>1.1 研究任务及实际意义</w:t>
      </w:r>
    </w:p>
    <w:p>
      <w:r>
        <w:t>本研究关注短期电力现货价格预测：在每个预测起点，利用已观测的历史电价与需求、日历、燃气背景以及当时可获得的预调度和供需预测，输出未来24小时的价格中位数和不确定性区间。预测有助于理解价格风险，并可为后续储能调度、报价与风险管理提供输入；本阶段的直接实验目标是预测质量，而不是已经验证的交易或储能收益。</w:t>
      </w:r>
    </w:p>
    <w:p>
      <w:r>
        <w:t>电价具有周期性、状态变化和厚尾现象。普通时段的价格水平受负荷、燃料成本与可再生出力等影响；少数供需紧张或系统约束事件则可能对应短时高价。低价与负价又具有不同的供需背景。模型既要识别持续趋势，也要避免把偶发事件平滑掉；同时不能为了追逐少量尖峰而在大量普通时段产生错误抬价。相关综述强调应在多个市场、足够长的测试区间和强简单基线上检验新方法。[2] [1] [3]</w:t>
      </w:r>
    </w:p>
    <w:p>
      <w:pPr>
        <w:pStyle w:val="Heading2"/>
      </w:pPr>
      <w:r>
        <w:t>1.2 本项目的精确定义</w:t>
      </w:r>
    </w:p>
    <w:p>
      <w:pPr>
        <w:spacing w:before="100" w:after="160"/>
        <w:jc w:val="center"/>
      </w:pPr>
      <w:r>
        <w:rPr>
          <w:rFonts w:ascii="Cambria" w:hAnsi="Cambria"/>
          <w:sz w:val="20"/>
        </w:rPr>
        <w:t>输入 Iₜ = {历史72 h价格/需求，日历，起点已知外生预测，合法成熟历史}；输出 Q̂ₜ,ₕ(τ)，h = 0,…,23。</w:t>
      </w:r>
    </w:p>
    <w:p>
      <w:r>
        <w:t>实验地区为NSW1（新南威尔士）、QLD1（昆士兰）和TAS1（塔斯马尼亚），单位为AUD/MWh。当前任务每小时起报一次，预测从起点开始的连续24个交付小时，时间统一按AEST（UTC+10）。它属于滚动多步预测，不能直接等同于某一固定拍卖时刻的一次性日前电价预测。历史实际电价与需求来自AEMO公开数据及本地小时序列。[5]</w:t>
      </w:r>
    </w:p>
    <w:p>
      <w:r>
        <w:t>“尖端电价”在本报告中按研究代码与任务语境统一表述为“电价尖峰”。既有开发代码常以真实价格超过300 AUD/MWh识别正尖峰；本报告同时用超过1000 AUD/MWh作更极端区间的事后诊断，并单独观察负价。阈值是研究分析口径，不代表市场官方统一定义，也不用于重新选择模型。</w:t>
      </w:r>
    </w:p>
    <w:p>
      <w:pPr>
        <w:pStyle w:val="Heading2"/>
      </w:pPr>
      <w:r>
        <w:t>1.3 文献脉络与本研究切入点</w:t>
      </w:r>
    </w:p>
    <w:p>
      <w:r>
        <w:t>本报告中的“全部基线”指当前正式比较表中完成的19个基线配置，而不是文献库中的所有论文。它们覆盖线性与前馈模型、梯度提升树、时序Transformer、分布参数神经网络、校准组合方法和预训练基础模型。组合基线同时引用骨干与校准论文；本地Linear和MLP属于通用对照，不将背景文献冒充其完整模型的原始论文。各篇论文和适配范围在第3章逐项说明。</w:t>
      </w:r>
    </w:p>
    <w:p>
      <w:r>
        <w:t>研究的结构起点是DualTimesField：把时间序列表示成连续趋势场与局部事件场的叠加，以低频参数化表达趋势，以稀疏局部原子表达瞬态。该框架的重建和插值能力为电价建模提供启发，但已知历史曲线的分解成功不等于未知未来尖峰可以被预测。因此，本项目逐步将重点转移到外生状态、成熟历史中的预测误差，以及历史事件能否在当前状态下被可靠采用。[4]</w:t>
      </w:r>
    </w:p>
    <w:p>
      <w:pPr>
        <w:pStyle w:val="Heading2"/>
      </w:pPr>
      <w:r>
        <w:t>1.4 当前要回答的研究问题</w:t>
      </w:r>
    </w:p>
    <w:tbl>
      <w:tblPr>
        <w:tblW w:type="auto" w:w="0"/>
        <w:jc w:val="center"/>
        <w:tblLayout w:type="fixed"/>
        <w:tblLook w:firstColumn="1" w:firstRow="1" w:lastColumn="0" w:lastRow="0" w:noHBand="0" w:noVBand="1" w:val="04A0"/>
      </w:tblPr>
      <w:tblGrid>
        <w:gridCol w:w="1871"/>
        <w:gridCol w:w="7483"/>
      </w:tblGrid>
      <w:tr>
        <w:trPr>
          <w:cantSplit/>
          <w:tblHeader/>
        </w:trPr>
        <w:tc>
          <w:tcPr>
            <w:tcW w:type="dxa" w:w="1871"/>
            <w:vAlign w:val="center"/>
            <w:shd w:fill="143E52"/>
          </w:tcPr>
          <w:p>
            <w:pPr>
              <w:keepNext/>
              <w:spacing w:after="60" w:before="60" w:line="259" w:lineRule="auto"/>
            </w:pPr>
            <w:r>
              <w:rPr>
                <w:rFonts w:ascii="Calibri" w:hAnsi="Calibri" w:eastAsia="Noto Sans CJK SC"/>
                <w:b/>
                <w:color w:val="FFFFFF"/>
                <w:sz w:val="19"/>
              </w:rPr>
              <w:t>问题</w:t>
            </w:r>
          </w:p>
        </w:tc>
        <w:tc>
          <w:tcPr>
            <w:tcW w:type="dxa" w:w="7483"/>
            <w:vAlign w:val="center"/>
            <w:shd w:fill="143E52"/>
          </w:tcPr>
          <w:p>
            <w:pPr>
              <w:keepNext/>
              <w:spacing w:after="60" w:before="60" w:line="259" w:lineRule="auto"/>
            </w:pPr>
            <w:r>
              <w:rPr>
                <w:rFonts w:ascii="Calibri" w:hAnsi="Calibri" w:eastAsia="Noto Sans CJK SC"/>
                <w:b/>
                <w:color w:val="FFFFFF"/>
                <w:sz w:val="19"/>
              </w:rPr>
              <w:t>研究含义</w:t>
            </w:r>
          </w:p>
        </w:tc>
      </w:tr>
      <w:tr>
        <w:trPr>
          <w:cantSplit/>
        </w:trPr>
        <w:tc>
          <w:tcPr>
            <w:tcW w:type="dxa" w:w="1871"/>
            <w:vAlign w:val="center"/>
            <w:shd w:fill="EEF4F7"/>
          </w:tcPr>
          <w:p>
            <w:pPr>
              <w:keepNext/>
              <w:spacing w:after="60" w:before="60" w:line="259" w:lineRule="auto"/>
            </w:pPr>
            <w:r>
              <w:rPr>
                <w:rFonts w:ascii="Calibri" w:hAnsi="Calibri" w:eastAsia="Noto Sans CJK SC"/>
                <w:b w:val="0"/>
                <w:color w:val="172F3B"/>
                <w:sz w:val="19"/>
              </w:rPr>
              <w:t>尖峰发生与幅度</w:t>
            </w:r>
          </w:p>
        </w:tc>
        <w:tc>
          <w:tcPr>
            <w:tcW w:type="dxa" w:w="7483"/>
            <w:vAlign w:val="center"/>
            <w:shd w:fill="EEF4F7"/>
          </w:tcPr>
          <w:p>
            <w:pPr>
              <w:keepNext/>
              <w:spacing w:after="60" w:before="60" w:line="259" w:lineRule="auto"/>
            </w:pPr>
            <w:r>
              <w:rPr>
                <w:rFonts w:ascii="Calibri" w:hAnsi="Calibri" w:eastAsia="Noto Sans CJK SC"/>
                <w:b w:val="0"/>
                <w:color w:val="172F3B"/>
                <w:sz w:val="19"/>
              </w:rPr>
              <w:t>在预测起点的信息条件下，是否能提前识别极端高价，而不仅仅重建已知尖峰？</w:t>
            </w:r>
          </w:p>
        </w:tc>
      </w:tr>
      <w:tr>
        <w:trPr>
          <w:cantSplit/>
        </w:trPr>
        <w:tc>
          <w:tcPr>
            <w:tcW w:type="dxa" w:w="1871"/>
            <w:vAlign w:val="center"/>
            <w:shd w:fill="FFFFFF"/>
          </w:tcPr>
          <w:p>
            <w:pPr>
              <w:keepNext/>
              <w:spacing w:after="60" w:before="60" w:line="259" w:lineRule="auto"/>
            </w:pPr>
            <w:r>
              <w:rPr>
                <w:rFonts w:ascii="Calibri" w:hAnsi="Calibri" w:eastAsia="Noto Sans CJK SC"/>
                <w:b w:val="0"/>
                <w:color w:val="172F3B"/>
                <w:sz w:val="19"/>
              </w:rPr>
              <w:t>尖峰时间位置</w:t>
            </w:r>
          </w:p>
        </w:tc>
        <w:tc>
          <w:tcPr>
            <w:tcW w:type="dxa" w:w="7483"/>
            <w:vAlign w:val="center"/>
            <w:shd w:fill="FFFFFF"/>
          </w:tcPr>
          <w:p>
            <w:pPr>
              <w:keepNext/>
              <w:spacing w:after="60" w:before="60" w:line="259" w:lineRule="auto"/>
            </w:pPr>
            <w:r>
              <w:rPr>
                <w:rFonts w:ascii="Calibri" w:hAnsi="Calibri" w:eastAsia="Noto Sans CJK SC"/>
                <w:b w:val="0"/>
                <w:color w:val="172F3B"/>
                <w:sz w:val="19"/>
              </w:rPr>
              <w:t>历史事件相似时，能否识别其在未来24小时中的位置变化？</w:t>
            </w:r>
          </w:p>
        </w:tc>
      </w:tr>
      <w:tr>
        <w:trPr>
          <w:cantSplit/>
        </w:trPr>
        <w:tc>
          <w:tcPr>
            <w:tcW w:type="dxa" w:w="1871"/>
            <w:vAlign w:val="center"/>
            <w:shd w:fill="EEF4F7"/>
          </w:tcPr>
          <w:p>
            <w:pPr>
              <w:keepNext/>
              <w:spacing w:after="60" w:before="60" w:line="259" w:lineRule="auto"/>
            </w:pPr>
            <w:r>
              <w:rPr>
                <w:rFonts w:ascii="Calibri" w:hAnsi="Calibri" w:eastAsia="Noto Sans CJK SC"/>
                <w:b w:val="0"/>
                <w:color w:val="172F3B"/>
                <w:sz w:val="19"/>
              </w:rPr>
              <w:t>收益与代价</w:t>
            </w:r>
          </w:p>
        </w:tc>
        <w:tc>
          <w:tcPr>
            <w:tcW w:type="dxa" w:w="7483"/>
            <w:vAlign w:val="center"/>
            <w:shd w:fill="EEF4F7"/>
          </w:tcPr>
          <w:p>
            <w:pPr>
              <w:keepNext/>
              <w:spacing w:after="60" w:before="60" w:line="259" w:lineRule="auto"/>
            </w:pPr>
            <w:r>
              <w:rPr>
                <w:rFonts w:ascii="Calibri" w:hAnsi="Calibri" w:eastAsia="Noto Sans CJK SC"/>
                <w:b w:val="0"/>
                <w:color w:val="172F3B"/>
                <w:sz w:val="19"/>
              </w:rPr>
              <w:t>极端时段的改善是否以普通时段误报、总体MAE或区间失准为代价？</w:t>
            </w:r>
          </w:p>
        </w:tc>
      </w:tr>
      <w:tr>
        <w:trPr>
          <w:cantSplit/>
        </w:trPr>
        <w:tc>
          <w:tcPr>
            <w:tcW w:type="dxa" w:w="1871"/>
            <w:vAlign w:val="center"/>
            <w:shd w:fill="FFFFFF"/>
          </w:tcPr>
          <w:p>
            <w:pPr>
              <w:spacing w:after="60" w:before="60" w:line="259" w:lineRule="auto"/>
            </w:pPr>
            <w:r>
              <w:rPr>
                <w:rFonts w:ascii="Calibri" w:hAnsi="Calibri" w:eastAsia="Noto Sans CJK SC"/>
                <w:b w:val="0"/>
                <w:color w:val="172F3B"/>
                <w:sz w:val="19"/>
              </w:rPr>
              <w:t>跨状态可靠性</w:t>
            </w:r>
          </w:p>
        </w:tc>
        <w:tc>
          <w:tcPr>
            <w:tcW w:type="dxa" w:w="7483"/>
            <w:vAlign w:val="center"/>
            <w:shd w:fill="FFFFFF"/>
          </w:tcPr>
          <w:p>
            <w:pPr>
              <w:spacing w:after="60" w:before="60" w:line="259" w:lineRule="auto"/>
            </w:pPr>
            <w:r>
              <w:rPr>
                <w:rFonts w:ascii="Calibri" w:hAnsi="Calibri" w:eastAsia="Noto Sans CJK SC"/>
                <w:b w:val="0"/>
                <w:color w:val="172F3B"/>
                <w:sz w:val="19"/>
              </w:rPr>
              <w:t>历史校正的证据在不同地区、年份与供需状态下是否稳定？</w:t>
            </w:r>
          </w:p>
        </w:tc>
      </w:tr>
    </w:tbl>
    <w:p>
      <w:pPr>
        <w:spacing w:after="0"/>
      </w:pPr>
    </w:p>
    <w:p>
      <w:pPr>
        <w:pStyle w:val="Heading1"/>
      </w:pPr>
      <w:r>
        <w:t>2 实验协议与当前研究阶段</w:t>
      </w:r>
    </w:p>
    <w:p>
      <w:pPr>
        <w:pStyle w:val="Heading2"/>
      </w:pPr>
      <w:r>
        <w:t>2.1 数据、输入与时间划分</w:t>
      </w:r>
    </w:p>
    <w:tbl>
      <w:tblPr>
        <w:tblW w:type="auto" w:w="0"/>
        <w:jc w:val="center"/>
        <w:tblLayout w:type="fixed"/>
        <w:tblLook w:firstColumn="1" w:firstRow="1" w:lastColumn="0" w:lastRow="0" w:noHBand="0" w:noVBand="1" w:val="04A0"/>
      </w:tblPr>
      <w:tblGrid>
        <w:gridCol w:w="1871"/>
        <w:gridCol w:w="7483"/>
      </w:tblGrid>
      <w:tr>
        <w:trPr>
          <w:cantSplit/>
          <w:tblHeader/>
        </w:trPr>
        <w:tc>
          <w:tcPr>
            <w:tcW w:type="dxa" w:w="1871"/>
            <w:vAlign w:val="center"/>
            <w:shd w:fill="143E52"/>
          </w:tcPr>
          <w:p>
            <w:pPr>
              <w:keepNext/>
              <w:spacing w:after="60" w:before="60" w:line="259" w:lineRule="auto"/>
            </w:pPr>
            <w:r>
              <w:rPr>
                <w:rFonts w:ascii="Calibri" w:hAnsi="Calibri" w:eastAsia="Noto Sans CJK SC"/>
                <w:b/>
                <w:color w:val="FFFFFF"/>
                <w:sz w:val="18"/>
              </w:rPr>
              <w:t>项目</w:t>
            </w:r>
          </w:p>
        </w:tc>
        <w:tc>
          <w:tcPr>
            <w:tcW w:type="dxa" w:w="7483"/>
            <w:vAlign w:val="center"/>
            <w:shd w:fill="143E52"/>
          </w:tcPr>
          <w:p>
            <w:pPr>
              <w:keepNext/>
              <w:spacing w:after="60" w:before="60" w:line="259" w:lineRule="auto"/>
            </w:pPr>
            <w:r>
              <w:rPr>
                <w:rFonts w:ascii="Calibri" w:hAnsi="Calibri" w:eastAsia="Noto Sans CJK SC"/>
                <w:b/>
                <w:color w:val="FFFFFF"/>
                <w:sz w:val="18"/>
              </w:rPr>
              <w:t>当前正式口径</w:t>
            </w:r>
          </w:p>
        </w:tc>
      </w:tr>
      <w:tr>
        <w:trPr>
          <w:cantSplit/>
        </w:trPr>
        <w:tc>
          <w:tcPr>
            <w:tcW w:type="dxa" w:w="1871"/>
            <w:vAlign w:val="center"/>
            <w:shd w:fill="EEF4F7"/>
          </w:tcPr>
          <w:p>
            <w:pPr>
              <w:keepNext/>
              <w:spacing w:after="60" w:before="60" w:line="259" w:lineRule="auto"/>
            </w:pPr>
            <w:r>
              <w:rPr>
                <w:rFonts w:ascii="Calibri" w:hAnsi="Calibri" w:eastAsia="Noto Sans CJK SC"/>
                <w:b w:val="0"/>
                <w:color w:val="172F3B"/>
                <w:sz w:val="18"/>
              </w:rPr>
              <w:t>基础数据与时区</w:t>
            </w:r>
          </w:p>
        </w:tc>
        <w:tc>
          <w:tcPr>
            <w:tcW w:type="dxa" w:w="7483"/>
            <w:vAlign w:val="center"/>
            <w:shd w:fill="EEF4F7"/>
          </w:tcPr>
          <w:p>
            <w:pPr>
              <w:keepNext/>
              <w:spacing w:after="60" w:before="60" w:line="259" w:lineRule="auto"/>
            </w:pPr>
            <w:r>
              <w:rPr>
                <w:rFonts w:ascii="Calibri" w:hAnsi="Calibri" w:eastAsia="Noto Sans CJK SC"/>
                <w:b w:val="0"/>
                <w:color w:val="172F3B"/>
                <w:sz w:val="18"/>
              </w:rPr>
              <w:t>NSW1、QLD1、TAS1小时价格/需求；AEST，无夏令时切换</w:t>
            </w:r>
          </w:p>
        </w:tc>
      </w:tr>
      <w:tr>
        <w:trPr>
          <w:cantSplit/>
        </w:trPr>
        <w:tc>
          <w:tcPr>
            <w:tcW w:type="dxa" w:w="1871"/>
            <w:vAlign w:val="center"/>
            <w:shd w:fill="FFFFFF"/>
          </w:tcPr>
          <w:p>
            <w:pPr>
              <w:keepNext/>
              <w:spacing w:after="60" w:before="60" w:line="259" w:lineRule="auto"/>
            </w:pPr>
            <w:r>
              <w:rPr>
                <w:rFonts w:ascii="Calibri" w:hAnsi="Calibri" w:eastAsia="Noto Sans CJK SC"/>
                <w:b w:val="0"/>
                <w:color w:val="172F3B"/>
                <w:sz w:val="18"/>
              </w:rPr>
              <w:t>静态模型训练</w:t>
            </w:r>
          </w:p>
        </w:tc>
        <w:tc>
          <w:tcPr>
            <w:tcW w:type="dxa" w:w="7483"/>
            <w:vAlign w:val="center"/>
            <w:shd w:fill="FFFFFF"/>
          </w:tcPr>
          <w:p>
            <w:pPr>
              <w:keepNext/>
              <w:spacing w:after="60" w:before="60" w:line="259" w:lineRule="auto"/>
            </w:pPr>
            <w:r>
              <w:rPr>
                <w:rFonts w:ascii="Calibri" w:hAnsi="Calibri" w:eastAsia="Noto Sans CJK SC"/>
                <w:b w:val="0"/>
                <w:color w:val="172F3B"/>
                <w:sz w:val="18"/>
              </w:rPr>
              <w:t>2015-01-01至2021-12-31（各适配器按自身实现使用）</w:t>
            </w:r>
          </w:p>
        </w:tc>
      </w:tr>
      <w:tr>
        <w:trPr>
          <w:cantSplit/>
        </w:trPr>
        <w:tc>
          <w:tcPr>
            <w:tcW w:type="dxa" w:w="1871"/>
            <w:vAlign w:val="center"/>
            <w:shd w:fill="EEF4F7"/>
          </w:tcPr>
          <w:p>
            <w:pPr>
              <w:keepNext/>
              <w:spacing w:after="60" w:before="60" w:line="259" w:lineRule="auto"/>
            </w:pPr>
            <w:r>
              <w:rPr>
                <w:rFonts w:ascii="Calibri" w:hAnsi="Calibri" w:eastAsia="Noto Sans CJK SC"/>
                <w:b w:val="0"/>
                <w:color w:val="172F3B"/>
                <w:sz w:val="18"/>
              </w:rPr>
              <w:t>选择期</w:t>
            </w:r>
          </w:p>
        </w:tc>
        <w:tc>
          <w:tcPr>
            <w:tcW w:type="dxa" w:w="7483"/>
            <w:vAlign w:val="center"/>
            <w:shd w:fill="EEF4F7"/>
          </w:tcPr>
          <w:p>
            <w:pPr>
              <w:keepNext/>
              <w:spacing w:after="60" w:before="60" w:line="259" w:lineRule="auto"/>
            </w:pPr>
            <w:r>
              <w:rPr>
                <w:rFonts w:ascii="Calibri" w:hAnsi="Calibri" w:eastAsia="Noto Sans CJK SC"/>
                <w:b w:val="0"/>
                <w:color w:val="172F3B"/>
                <w:sz w:val="18"/>
              </w:rPr>
              <w:t>2022年上半年；用于轮数、检查点或既定超参数选择</w:t>
            </w:r>
          </w:p>
        </w:tc>
      </w:tr>
      <w:tr>
        <w:trPr>
          <w:cantSplit/>
        </w:trPr>
        <w:tc>
          <w:tcPr>
            <w:tcW w:type="dxa" w:w="1871"/>
            <w:vAlign w:val="center"/>
            <w:shd w:fill="FFFFFF"/>
          </w:tcPr>
          <w:p>
            <w:pPr>
              <w:keepNext/>
              <w:spacing w:after="60" w:before="60" w:line="259" w:lineRule="auto"/>
            </w:pPr>
            <w:r>
              <w:rPr>
                <w:rFonts w:ascii="Calibri" w:hAnsi="Calibri" w:eastAsia="Noto Sans CJK SC"/>
                <w:b w:val="0"/>
                <w:color w:val="172F3B"/>
                <w:sz w:val="18"/>
              </w:rPr>
              <w:t>校准期</w:t>
            </w:r>
          </w:p>
        </w:tc>
        <w:tc>
          <w:tcPr>
            <w:tcW w:type="dxa" w:w="7483"/>
            <w:vAlign w:val="center"/>
            <w:shd w:fill="FFFFFF"/>
          </w:tcPr>
          <w:p>
            <w:pPr>
              <w:keepNext/>
              <w:spacing w:after="60" w:before="60" w:line="259" w:lineRule="auto"/>
            </w:pPr>
            <w:r>
              <w:rPr>
                <w:rFonts w:ascii="Calibri" w:hAnsi="Calibri" w:eastAsia="Noto Sans CJK SC"/>
                <w:b w:val="0"/>
                <w:color w:val="172F3B"/>
                <w:sz w:val="18"/>
              </w:rPr>
              <w:t>2022年下半年；CP/QRA等按其固定流程使用</w:t>
            </w:r>
          </w:p>
        </w:tc>
      </w:tr>
      <w:tr>
        <w:trPr>
          <w:cantSplit/>
        </w:trPr>
        <w:tc>
          <w:tcPr>
            <w:tcW w:type="dxa" w:w="1871"/>
            <w:vAlign w:val="center"/>
            <w:shd w:fill="EEF4F7"/>
          </w:tcPr>
          <w:p>
            <w:pPr>
              <w:keepNext/>
              <w:spacing w:after="60" w:before="60" w:line="259" w:lineRule="auto"/>
            </w:pPr>
            <w:r>
              <w:rPr>
                <w:rFonts w:ascii="Calibri" w:hAnsi="Calibri" w:eastAsia="Noto Sans CJK SC"/>
                <w:b w:val="0"/>
                <w:color w:val="172F3B"/>
                <w:sz w:val="18"/>
              </w:rPr>
              <w:t>正式测试</w:t>
            </w:r>
          </w:p>
        </w:tc>
        <w:tc>
          <w:tcPr>
            <w:tcW w:type="dxa" w:w="7483"/>
            <w:vAlign w:val="center"/>
            <w:shd w:fill="EEF4F7"/>
          </w:tcPr>
          <w:p>
            <w:pPr>
              <w:keepNext/>
              <w:spacing w:after="60" w:before="60" w:line="259" w:lineRule="auto"/>
            </w:pPr>
            <w:r>
              <w:rPr>
                <w:rFonts w:ascii="Calibri" w:hAnsi="Calibri" w:eastAsia="Noto Sans CJK SC"/>
                <w:b w:val="0"/>
                <w:color w:val="172F3B"/>
                <w:sz w:val="18"/>
              </w:rPr>
              <w:t>2023—2024年，每地区17,521个起点，每起点24个标签</w:t>
            </w:r>
          </w:p>
        </w:tc>
      </w:tr>
      <w:tr>
        <w:trPr>
          <w:cantSplit/>
        </w:trPr>
        <w:tc>
          <w:tcPr>
            <w:tcW w:type="dxa" w:w="1871"/>
            <w:vAlign w:val="center"/>
            <w:shd w:fill="FFFFFF"/>
          </w:tcPr>
          <w:p>
            <w:pPr>
              <w:keepNext/>
              <w:spacing w:after="60" w:before="60" w:line="259" w:lineRule="auto"/>
            </w:pPr>
            <w:r>
              <w:rPr>
                <w:rFonts w:ascii="Calibri" w:hAnsi="Calibri" w:eastAsia="Noto Sans CJK SC"/>
                <w:b w:val="0"/>
                <w:color w:val="172F3B"/>
                <w:sz w:val="18"/>
              </w:rPr>
              <w:t>联合模型神经训练</w:t>
            </w:r>
          </w:p>
        </w:tc>
        <w:tc>
          <w:tcPr>
            <w:tcW w:type="dxa" w:w="7483"/>
            <w:vAlign w:val="center"/>
            <w:shd w:fill="FFFFFF"/>
          </w:tcPr>
          <w:p>
            <w:pPr>
              <w:keepNext/>
              <w:spacing w:after="60" w:before="60" w:line="259" w:lineRule="auto"/>
            </w:pPr>
            <w:r>
              <w:rPr>
                <w:rFonts w:ascii="Calibri" w:hAnsi="Calibri" w:eastAsia="Noto Sans CJK SC"/>
                <w:b w:val="0"/>
                <w:color w:val="172F3B"/>
                <w:sz w:val="18"/>
              </w:rPr>
              <w:t>2018—2021年，使用按时间前推的OOF树预测；选择期2022H1</w:t>
            </w:r>
          </w:p>
        </w:tc>
      </w:tr>
      <w:tr>
        <w:trPr>
          <w:cantSplit/>
        </w:trPr>
        <w:tc>
          <w:tcPr>
            <w:tcW w:type="dxa" w:w="1871"/>
            <w:vAlign w:val="center"/>
            <w:shd w:fill="EEF4F7"/>
          </w:tcPr>
          <w:p>
            <w:pPr>
              <w:keepNext/>
              <w:spacing w:after="60" w:before="60" w:line="259" w:lineRule="auto"/>
            </w:pPr>
            <w:r>
              <w:rPr>
                <w:rFonts w:ascii="Calibri" w:hAnsi="Calibri" w:eastAsia="Noto Sans CJK SC"/>
                <w:b w:val="0"/>
                <w:color w:val="172F3B"/>
                <w:sz w:val="18"/>
              </w:rPr>
              <w:t>历史记忆</w:t>
            </w:r>
          </w:p>
        </w:tc>
        <w:tc>
          <w:tcPr>
            <w:tcW w:type="dxa" w:w="7483"/>
            <w:vAlign w:val="center"/>
            <w:shd w:fill="EEF4F7"/>
          </w:tcPr>
          <w:p>
            <w:pPr>
              <w:keepNext/>
              <w:spacing w:after="60" w:before="60" w:line="259" w:lineRule="auto"/>
            </w:pPr>
            <w:r>
              <w:rPr>
                <w:rFonts w:ascii="Calibri" w:hAnsi="Calibri" w:eastAsia="Noto Sans CJK SC"/>
                <w:b w:val="0"/>
                <w:color w:val="172F3B"/>
                <w:sz w:val="18"/>
              </w:rPr>
              <w:t>仅使用完整标签已成熟的历史窗口；测试期可因果更新记忆与误差统计</w:t>
            </w:r>
          </w:p>
        </w:tc>
      </w:tr>
      <w:tr>
        <w:trPr>
          <w:cantSplit/>
        </w:trPr>
        <w:tc>
          <w:tcPr>
            <w:tcW w:type="dxa" w:w="1871"/>
            <w:vAlign w:val="center"/>
            <w:shd w:fill="FFFFFF"/>
          </w:tcPr>
          <w:p>
            <w:pPr>
              <w:keepNext/>
              <w:spacing w:after="60" w:before="60" w:line="259" w:lineRule="auto"/>
            </w:pPr>
            <w:r>
              <w:rPr>
                <w:rFonts w:ascii="Calibri" w:hAnsi="Calibri" w:eastAsia="Noto Sans CJK SC"/>
                <w:b w:val="0"/>
                <w:color w:val="172F3B"/>
                <w:sz w:val="18"/>
              </w:rPr>
              <w:t>随机性</w:t>
            </w:r>
          </w:p>
        </w:tc>
        <w:tc>
          <w:tcPr>
            <w:tcW w:type="dxa" w:w="7483"/>
            <w:vAlign w:val="center"/>
            <w:shd w:fill="FFFFFF"/>
          </w:tcPr>
          <w:p>
            <w:pPr>
              <w:keepNext/>
              <w:spacing w:after="60" w:before="60" w:line="259" w:lineRule="auto"/>
            </w:pPr>
            <w:r>
              <w:rPr>
                <w:rFonts w:ascii="Calibri" w:hAnsi="Calibri" w:eastAsia="Noto Sans CJK SC"/>
                <w:b w:val="0"/>
                <w:color w:val="172F3B"/>
                <w:sz w:val="18"/>
              </w:rPr>
              <w:t>2026/2027/2028；联合方法只改变神经初始化与训练顺序，树固定2026</w:t>
            </w:r>
          </w:p>
        </w:tc>
      </w:tr>
      <w:tr>
        <w:trPr>
          <w:cantSplit/>
        </w:trPr>
        <w:tc>
          <w:tcPr>
            <w:tcW w:type="dxa" w:w="1871"/>
            <w:vAlign w:val="center"/>
            <w:shd w:fill="EEF4F7"/>
          </w:tcPr>
          <w:p>
            <w:pPr>
              <w:spacing w:after="60" w:before="60" w:line="259" w:lineRule="auto"/>
            </w:pPr>
            <w:r>
              <w:rPr>
                <w:rFonts w:ascii="Calibri" w:hAnsi="Calibri" w:eastAsia="Noto Sans CJK SC"/>
                <w:b w:val="0"/>
                <w:color w:val="172F3B"/>
                <w:sz w:val="18"/>
              </w:rPr>
              <w:t>目标价格</w:t>
            </w:r>
          </w:p>
        </w:tc>
        <w:tc>
          <w:tcPr>
            <w:tcW w:type="dxa" w:w="7483"/>
            <w:vAlign w:val="center"/>
            <w:shd w:fill="EEF4F7"/>
          </w:tcPr>
          <w:p>
            <w:pPr>
              <w:spacing w:after="60" w:before="60" w:line="259" w:lineRule="auto"/>
            </w:pPr>
            <w:r>
              <w:rPr>
                <w:rFonts w:ascii="Calibri" w:hAnsi="Calibri" w:eastAsia="Noto Sans CJK SC"/>
                <w:b w:val="0"/>
                <w:color w:val="172F3B"/>
                <w:sz w:val="18"/>
              </w:rPr>
              <w:t>原始RRP，identity变换；不以价格截帽后的结果代替正式主表</w:t>
            </w:r>
          </w:p>
        </w:tc>
      </w:tr>
    </w:tbl>
    <w:p>
      <w:pPr>
        <w:spacing w:after="0"/>
      </w:pPr>
    </w:p>
    <w:p>
      <w:r>
        <w:t>正式测试共17,521×24=420,504个起点—步长单元/地区，每个模型三地区约126万个单元。相邻起点的预测窗口重叠，同一交付小时会被多个提前量预测；这些单元并不是彼此独立的事件样本。主表对每个seed单独评分，先做三地区等权宏平均，再对三个seed计算均值和样本标准差，不先平均预测。</w:t>
      </w:r>
    </w:p>
    <w:tbl>
      <w:tblPr>
        <w:tblW w:type="auto" w:w="0"/>
        <w:jc w:val="center"/>
        <w:tblLayout w:type="fixed"/>
        <w:tblLook w:firstColumn="1" w:firstRow="1" w:lastColumn="0" w:lastRow="0" w:noHBand="0" w:noVBand="1" w:val="04A0"/>
      </w:tblPr>
      <w:tblGrid>
        <w:gridCol w:w="1928"/>
        <w:gridCol w:w="1134"/>
        <w:gridCol w:w="6293"/>
      </w:tblGrid>
      <w:tr>
        <w:trPr>
          <w:cantSplit/>
          <w:tblHeader/>
        </w:trPr>
        <w:tc>
          <w:tcPr>
            <w:tcW w:type="dxa" w:w="1928"/>
            <w:vAlign w:val="center"/>
            <w:shd w:fill="143E52"/>
          </w:tcPr>
          <w:p>
            <w:pPr>
              <w:keepNext/>
              <w:spacing w:after="60" w:before="60" w:line="259" w:lineRule="auto"/>
            </w:pPr>
            <w:r>
              <w:rPr>
                <w:rFonts w:ascii="Calibri" w:hAnsi="Calibri" w:eastAsia="Noto Sans CJK SC"/>
                <w:b/>
                <w:color w:val="FFFFFF"/>
                <w:sz w:val="17"/>
              </w:rPr>
              <w:t>公共输入块</w:t>
            </w:r>
          </w:p>
        </w:tc>
        <w:tc>
          <w:tcPr>
            <w:tcW w:type="dxa" w:w="1134"/>
            <w:vAlign w:val="center"/>
            <w:shd w:fill="143E52"/>
          </w:tcPr>
          <w:p>
            <w:pPr>
              <w:keepNext/>
              <w:spacing w:after="60" w:before="60" w:line="259" w:lineRule="auto"/>
            </w:pPr>
            <w:r>
              <w:rPr>
                <w:rFonts w:ascii="Calibri" w:hAnsi="Calibri" w:eastAsia="Noto Sans CJK SC"/>
                <w:b/>
                <w:color w:val="FFFFFF"/>
                <w:sz w:val="17"/>
              </w:rPr>
              <w:t>维度</w:t>
            </w:r>
          </w:p>
        </w:tc>
        <w:tc>
          <w:tcPr>
            <w:tcW w:type="dxa" w:w="6293"/>
            <w:vAlign w:val="center"/>
            <w:shd w:fill="143E52"/>
          </w:tcPr>
          <w:p>
            <w:pPr>
              <w:keepNext/>
              <w:spacing w:after="60" w:before="60" w:line="259" w:lineRule="auto"/>
            </w:pPr>
            <w:r>
              <w:rPr>
                <w:rFonts w:ascii="Calibri" w:hAnsi="Calibri" w:eastAsia="Noto Sans CJK SC"/>
                <w:b/>
                <w:color w:val="FFFFFF"/>
                <w:sz w:val="17"/>
              </w:rPr>
              <w:t>含义</w:t>
            </w:r>
          </w:p>
        </w:tc>
      </w:tr>
      <w:tr>
        <w:trPr>
          <w:cantSplit/>
        </w:trPr>
        <w:tc>
          <w:tcPr>
            <w:tcW w:type="dxa" w:w="1928"/>
            <w:vAlign w:val="center"/>
            <w:shd w:fill="EEF4F7"/>
          </w:tcPr>
          <w:p>
            <w:pPr>
              <w:keepNext/>
              <w:spacing w:after="60" w:before="60" w:line="259" w:lineRule="auto"/>
            </w:pPr>
            <w:r>
              <w:rPr>
                <w:rFonts w:ascii="Calibri" w:hAnsi="Calibri" w:eastAsia="Noto Sans CJK SC"/>
                <w:b w:val="0"/>
                <w:color w:val="172F3B"/>
                <w:sz w:val="17"/>
              </w:rPr>
              <w:t>历史观测</w:t>
            </w:r>
          </w:p>
        </w:tc>
        <w:tc>
          <w:tcPr>
            <w:tcW w:type="dxa" w:w="1134"/>
            <w:vAlign w:val="center"/>
            <w:shd w:fill="EEF4F7"/>
          </w:tcPr>
          <w:p>
            <w:pPr>
              <w:keepNext/>
              <w:spacing w:after="60" w:before="60" w:line="259" w:lineRule="auto"/>
            </w:pPr>
            <w:r>
              <w:rPr>
                <w:rFonts w:ascii="Calibri" w:hAnsi="Calibri" w:eastAsia="Noto Sans CJK SC"/>
                <w:b w:val="0"/>
                <w:color w:val="172F3B"/>
                <w:sz w:val="17"/>
              </w:rPr>
              <w:t>72×2</w:t>
            </w:r>
          </w:p>
        </w:tc>
        <w:tc>
          <w:tcPr>
            <w:tcW w:type="dxa" w:w="6293"/>
            <w:vAlign w:val="center"/>
            <w:shd w:fill="EEF4F7"/>
          </w:tcPr>
          <w:p>
            <w:pPr>
              <w:keepNext/>
              <w:spacing w:after="60" w:before="60" w:line="259" w:lineRule="auto"/>
            </w:pPr>
            <w:r>
              <w:rPr>
                <w:rFonts w:ascii="Calibri" w:hAnsi="Calibri" w:eastAsia="Noto Sans CJK SC"/>
                <w:b w:val="0"/>
                <w:color w:val="172F3B"/>
                <w:sz w:val="17"/>
              </w:rPr>
              <w:t>价格和总需求</w:t>
            </w:r>
          </w:p>
        </w:tc>
      </w:tr>
      <w:tr>
        <w:trPr>
          <w:cantSplit/>
        </w:trPr>
        <w:tc>
          <w:tcPr>
            <w:tcW w:type="dxa" w:w="1928"/>
            <w:vAlign w:val="center"/>
            <w:shd w:fill="FFFFFF"/>
          </w:tcPr>
          <w:p>
            <w:pPr>
              <w:keepNext/>
              <w:spacing w:after="60" w:before="60" w:line="259" w:lineRule="auto"/>
            </w:pPr>
            <w:r>
              <w:rPr>
                <w:rFonts w:ascii="Calibri" w:hAnsi="Calibri" w:eastAsia="Noto Sans CJK SC"/>
                <w:b w:val="0"/>
                <w:color w:val="172F3B"/>
                <w:sz w:val="17"/>
              </w:rPr>
              <w:t>历史日历</w:t>
            </w:r>
          </w:p>
        </w:tc>
        <w:tc>
          <w:tcPr>
            <w:tcW w:type="dxa" w:w="1134"/>
            <w:vAlign w:val="center"/>
            <w:shd w:fill="FFFFFF"/>
          </w:tcPr>
          <w:p>
            <w:pPr>
              <w:keepNext/>
              <w:spacing w:after="60" w:before="60" w:line="259" w:lineRule="auto"/>
            </w:pPr>
            <w:r>
              <w:rPr>
                <w:rFonts w:ascii="Calibri" w:hAnsi="Calibri" w:eastAsia="Noto Sans CJK SC"/>
                <w:b w:val="0"/>
                <w:color w:val="172F3B"/>
                <w:sz w:val="17"/>
              </w:rPr>
              <w:t>72×10</w:t>
            </w:r>
          </w:p>
        </w:tc>
        <w:tc>
          <w:tcPr>
            <w:tcW w:type="dxa" w:w="6293"/>
            <w:vAlign w:val="center"/>
            <w:shd w:fill="FFFFFF"/>
          </w:tcPr>
          <w:p>
            <w:pPr>
              <w:keepNext/>
              <w:spacing w:after="60" w:before="60" w:line="259" w:lineRule="auto"/>
            </w:pPr>
            <w:r>
              <w:rPr>
                <w:rFonts w:ascii="Calibri" w:hAnsi="Calibri" w:eastAsia="Noto Sans CJK SC"/>
                <w:b w:val="0"/>
                <w:color w:val="172F3B"/>
                <w:sz w:val="17"/>
              </w:rPr>
              <w:t>小时、星期、年内日期、月份等</w:t>
            </w:r>
          </w:p>
        </w:tc>
      </w:tr>
      <w:tr>
        <w:trPr>
          <w:cantSplit/>
        </w:trPr>
        <w:tc>
          <w:tcPr>
            <w:tcW w:type="dxa" w:w="1928"/>
            <w:vAlign w:val="center"/>
            <w:shd w:fill="EEF4F7"/>
          </w:tcPr>
          <w:p>
            <w:pPr>
              <w:keepNext/>
              <w:spacing w:after="60" w:before="60" w:line="259" w:lineRule="auto"/>
            </w:pPr>
            <w:r>
              <w:rPr>
                <w:rFonts w:ascii="Calibri" w:hAnsi="Calibri" w:eastAsia="Noto Sans CJK SC"/>
                <w:b w:val="0"/>
                <w:color w:val="172F3B"/>
                <w:sz w:val="17"/>
              </w:rPr>
              <w:t>未来日历</w:t>
            </w:r>
          </w:p>
        </w:tc>
        <w:tc>
          <w:tcPr>
            <w:tcW w:type="dxa" w:w="1134"/>
            <w:vAlign w:val="center"/>
            <w:shd w:fill="EEF4F7"/>
          </w:tcPr>
          <w:p>
            <w:pPr>
              <w:keepNext/>
              <w:spacing w:after="60" w:before="60" w:line="259" w:lineRule="auto"/>
            </w:pPr>
            <w:r>
              <w:rPr>
                <w:rFonts w:ascii="Calibri" w:hAnsi="Calibri" w:eastAsia="Noto Sans CJK SC"/>
                <w:b w:val="0"/>
                <w:color w:val="172F3B"/>
                <w:sz w:val="17"/>
              </w:rPr>
              <w:t>24×10</w:t>
            </w:r>
          </w:p>
        </w:tc>
        <w:tc>
          <w:tcPr>
            <w:tcW w:type="dxa" w:w="6293"/>
            <w:vAlign w:val="center"/>
            <w:shd w:fill="EEF4F7"/>
          </w:tcPr>
          <w:p>
            <w:pPr>
              <w:keepNext/>
              <w:spacing w:after="60" w:before="60" w:line="259" w:lineRule="auto"/>
            </w:pPr>
            <w:r>
              <w:rPr>
                <w:rFonts w:ascii="Calibri" w:hAnsi="Calibri" w:eastAsia="Noto Sans CJK SC"/>
                <w:b w:val="0"/>
                <w:color w:val="172F3B"/>
                <w:sz w:val="17"/>
              </w:rPr>
              <w:t>未来交付小时可预先确定的日历</w:t>
            </w:r>
          </w:p>
        </w:tc>
      </w:tr>
      <w:tr>
        <w:trPr>
          <w:cantSplit/>
        </w:trPr>
        <w:tc>
          <w:tcPr>
            <w:tcW w:type="dxa" w:w="1928"/>
            <w:vAlign w:val="center"/>
            <w:shd w:fill="FFFFFF"/>
          </w:tcPr>
          <w:p>
            <w:pPr>
              <w:keepNext/>
              <w:spacing w:after="60" w:before="60" w:line="259" w:lineRule="auto"/>
            </w:pPr>
            <w:r>
              <w:rPr>
                <w:rFonts w:ascii="Calibri" w:hAnsi="Calibri" w:eastAsia="Noto Sans CJK SC"/>
                <w:b w:val="0"/>
                <w:color w:val="172F3B"/>
                <w:sz w:val="17"/>
              </w:rPr>
              <w:t>起点背景</w:t>
            </w:r>
          </w:p>
        </w:tc>
        <w:tc>
          <w:tcPr>
            <w:tcW w:type="dxa" w:w="1134"/>
            <w:vAlign w:val="center"/>
            <w:shd w:fill="FFFFFF"/>
          </w:tcPr>
          <w:p>
            <w:pPr>
              <w:keepNext/>
              <w:spacing w:after="60" w:before="60" w:line="259" w:lineRule="auto"/>
            </w:pPr>
            <w:r>
              <w:rPr>
                <w:rFonts w:ascii="Calibri" w:hAnsi="Calibri" w:eastAsia="Noto Sans CJK SC"/>
                <w:b w:val="0"/>
                <w:color w:val="172F3B"/>
                <w:sz w:val="17"/>
              </w:rPr>
              <w:t>1</w:t>
            </w:r>
          </w:p>
        </w:tc>
        <w:tc>
          <w:tcPr>
            <w:tcW w:type="dxa" w:w="6293"/>
            <w:vAlign w:val="center"/>
            <w:shd w:fill="FFFFFF"/>
          </w:tcPr>
          <w:p>
            <w:pPr>
              <w:keepNext/>
              <w:spacing w:after="60" w:before="60" w:line="259" w:lineRule="auto"/>
            </w:pPr>
            <w:r>
              <w:rPr>
                <w:rFonts w:ascii="Calibri" w:hAnsi="Calibri" w:eastAsia="Noto Sans CJK SC"/>
                <w:b w:val="0"/>
                <w:color w:val="172F3B"/>
                <w:sz w:val="17"/>
              </w:rPr>
              <w:t>此前7个已结束gas day的燃气价格log背景</w:t>
            </w:r>
          </w:p>
        </w:tc>
      </w:tr>
      <w:tr>
        <w:trPr>
          <w:cantSplit/>
        </w:trPr>
        <w:tc>
          <w:tcPr>
            <w:tcW w:type="dxa" w:w="1928"/>
            <w:vAlign w:val="center"/>
            <w:shd w:fill="EEF4F7"/>
          </w:tcPr>
          <w:p>
            <w:pPr>
              <w:keepNext/>
              <w:spacing w:after="60" w:before="60" w:line="259" w:lineRule="auto"/>
            </w:pPr>
            <w:r>
              <w:rPr>
                <w:rFonts w:ascii="Calibri" w:hAnsi="Calibri" w:eastAsia="Noto Sans CJK SC"/>
                <w:b w:val="0"/>
                <w:color w:val="172F3B"/>
                <w:sz w:val="17"/>
              </w:rPr>
              <w:t>未来外生预测</w:t>
            </w:r>
          </w:p>
        </w:tc>
        <w:tc>
          <w:tcPr>
            <w:tcW w:type="dxa" w:w="1134"/>
            <w:vAlign w:val="center"/>
            <w:shd w:fill="EEF4F7"/>
          </w:tcPr>
          <w:p>
            <w:pPr>
              <w:keepNext/>
              <w:spacing w:after="60" w:before="60" w:line="259" w:lineRule="auto"/>
            </w:pPr>
            <w:r>
              <w:rPr>
                <w:rFonts w:ascii="Calibri" w:hAnsi="Calibri" w:eastAsia="Noto Sans CJK SC"/>
                <w:b w:val="0"/>
                <w:color w:val="172F3B"/>
                <w:sz w:val="17"/>
              </w:rPr>
              <w:t>24×11</w:t>
            </w:r>
          </w:p>
        </w:tc>
        <w:tc>
          <w:tcPr>
            <w:tcW w:type="dxa" w:w="6293"/>
            <w:vAlign w:val="center"/>
            <w:shd w:fill="EEF4F7"/>
          </w:tcPr>
          <w:p>
            <w:pPr>
              <w:keepNext/>
              <w:spacing w:after="60" w:before="60" w:line="259" w:lineRule="auto"/>
            </w:pPr>
            <w:r>
              <w:rPr>
                <w:rFonts w:ascii="Calibri" w:hAnsi="Calibri" w:eastAsia="Noto Sans CJK SC"/>
                <w:b w:val="0"/>
                <w:color w:val="172F3B"/>
                <w:sz w:val="17"/>
              </w:rPr>
              <w:t>备用容量、预调度价格/需求/可用发电、互联与覆盖标记</w:t>
            </w:r>
          </w:p>
        </w:tc>
      </w:tr>
      <w:tr>
        <w:trPr>
          <w:cantSplit/>
        </w:trPr>
        <w:tc>
          <w:tcPr>
            <w:tcW w:type="dxa" w:w="1928"/>
            <w:vAlign w:val="center"/>
            <w:shd w:fill="FFFFFF"/>
          </w:tcPr>
          <w:p>
            <w:pPr>
              <w:keepNext/>
              <w:spacing w:after="60" w:before="60" w:line="259" w:lineRule="auto"/>
            </w:pPr>
            <w:r>
              <w:rPr>
                <w:rFonts w:ascii="Calibri" w:hAnsi="Calibri" w:eastAsia="Noto Sans CJK SC"/>
                <w:b w:val="0"/>
                <w:color w:val="172F3B"/>
                <w:sz w:val="17"/>
              </w:rPr>
              <w:t>净负荷预测</w:t>
            </w:r>
          </w:p>
        </w:tc>
        <w:tc>
          <w:tcPr>
            <w:tcW w:type="dxa" w:w="1134"/>
            <w:vAlign w:val="center"/>
            <w:shd w:fill="FFFFFF"/>
          </w:tcPr>
          <w:p>
            <w:pPr>
              <w:keepNext/>
              <w:spacing w:after="60" w:before="60" w:line="259" w:lineRule="auto"/>
            </w:pPr>
            <w:r>
              <w:rPr>
                <w:rFonts w:ascii="Calibri" w:hAnsi="Calibri" w:eastAsia="Noto Sans CJK SC"/>
                <w:b w:val="0"/>
                <w:color w:val="172F3B"/>
                <w:sz w:val="17"/>
              </w:rPr>
              <w:t>24×1</w:t>
            </w:r>
          </w:p>
        </w:tc>
        <w:tc>
          <w:tcPr>
            <w:tcW w:type="dxa" w:w="6293"/>
            <w:vAlign w:val="center"/>
            <w:shd w:fill="FFFFFF"/>
          </w:tcPr>
          <w:p>
            <w:pPr>
              <w:keepNext/>
              <w:spacing w:after="60" w:before="60" w:line="259" w:lineRule="auto"/>
            </w:pPr>
            <w:r>
              <w:rPr>
                <w:rFonts w:ascii="Calibri" w:hAnsi="Calibri" w:eastAsia="Noto Sans CJK SC"/>
                <w:b w:val="0"/>
                <w:color w:val="172F3B"/>
                <w:sz w:val="17"/>
              </w:rPr>
              <w:t>供需平衡的趋势背景</w:t>
            </w:r>
          </w:p>
        </w:tc>
      </w:tr>
      <w:tr>
        <w:trPr>
          <w:cantSplit/>
        </w:trPr>
        <w:tc>
          <w:tcPr>
            <w:tcW w:type="dxa" w:w="1928"/>
            <w:vAlign w:val="center"/>
            <w:shd w:fill="EEF4F7"/>
          </w:tcPr>
          <w:p>
            <w:pPr>
              <w:spacing w:after="60" w:before="60" w:line="259" w:lineRule="auto"/>
            </w:pPr>
            <w:r>
              <w:rPr>
                <w:rFonts w:ascii="Calibri" w:hAnsi="Calibri" w:eastAsia="Noto Sans CJK SC"/>
                <w:b w:val="0"/>
                <w:color w:val="172F3B"/>
                <w:sz w:val="17"/>
              </w:rPr>
              <w:t>容量短缺特征</w:t>
            </w:r>
          </w:p>
        </w:tc>
        <w:tc>
          <w:tcPr>
            <w:tcW w:type="dxa" w:w="1134"/>
            <w:vAlign w:val="center"/>
            <w:shd w:fill="EEF4F7"/>
          </w:tcPr>
          <w:p>
            <w:pPr>
              <w:spacing w:after="60" w:before="60" w:line="259" w:lineRule="auto"/>
            </w:pPr>
            <w:r>
              <w:rPr>
                <w:rFonts w:ascii="Calibri" w:hAnsi="Calibri" w:eastAsia="Noto Sans CJK SC"/>
                <w:b w:val="0"/>
                <w:color w:val="172F3B"/>
                <w:sz w:val="17"/>
              </w:rPr>
              <w:t>24×3</w:t>
            </w:r>
          </w:p>
        </w:tc>
        <w:tc>
          <w:tcPr>
            <w:tcW w:type="dxa" w:w="6293"/>
            <w:vAlign w:val="center"/>
            <w:shd w:fill="EEF4F7"/>
          </w:tcPr>
          <w:p>
            <w:pPr>
              <w:spacing w:after="60" w:before="60" w:line="259" w:lineRule="auto"/>
            </w:pPr>
            <w:r>
              <w:rPr>
                <w:rFonts w:ascii="Calibri" w:hAnsi="Calibri" w:eastAsia="Noto Sans CJK SC"/>
                <w:b w:val="0"/>
                <w:color w:val="172F3B"/>
                <w:sz w:val="17"/>
              </w:rPr>
              <w:t>相对训练期1%、5%、10%分位阈值的shortfall</w:t>
            </w:r>
          </w:p>
        </w:tc>
      </w:tr>
    </w:tbl>
    <w:p>
      <w:pPr>
        <w:spacing w:after="0"/>
      </w:pPr>
    </w:p>
    <w:p>
      <w:r>
        <w:t>展平后公共输入为1465维。TabPFN使用完整公共输入；Chronos-2、Moirai-2、TimesFM-2.5+XReg受适配器能力约束，仅接收其中部分信息。当前Full_joint还读取因果成熟历史和误差统计，因此它与静态模型具有相同测试样本和公共数据基础，但历史信息范围不同。</w:t>
      </w:r>
    </w:p>
    <w:p>
      <w:pPr>
        <w:pStyle w:val="Heading2"/>
      </w:pPr>
      <w:r>
        <w:t>2.2 评价指标与汇总方式</w:t>
      </w:r>
    </w:p>
    <w:p>
      <w:pPr>
        <w:spacing w:before="100" w:after="160"/>
        <w:jc w:val="center"/>
      </w:pPr>
      <w:r>
        <w:rPr>
          <w:rFonts w:ascii="Cambria" w:hAnsi="Cambria"/>
          <w:sz w:val="20"/>
        </w:rPr>
        <w:t>MAE = mean|y − q̂₀.₅|；ρτ(u) = u·(τ − 1{u&lt;0})；QS = 2·meanₜ,ₕ,τ ρτ(y − q̂τ)。</w:t>
      </w:r>
    </w:p>
    <w:p>
      <w:r>
        <w:t>公共分位水平为0.05、0.10、0.50、0.90、0.95；评分前按分位轴排序，中位数作为Q组点预测。QS是这五个分位的平均pinball乘2，是离散概率评分代理，不能直接称作对完整分布精确积分的CRPS。RMSE先在各地区按全部预测单元计算，再取三个地区的算术平均。80%/90%覆盖率与区间宽度共同衡量概率输出；覆盖率越大不一定越好，应接近其名义水平并兼顾宽度。</w:t>
      </w:r>
    </w:p>
    <w:p>
      <w:r>
        <w:t>Q组具备完整五分位输出，可比较MAE、QS和两种覆盖率。P组仅比较其原生中位数的点预测指标：Moirai-2和当前TimesFM适配器未提供完整公共五分位，主表中的QS记为“—”，不插值补齐、不与Q组混排概率能力。</w:t>
      </w:r>
    </w:p>
    <w:p>
      <w:pPr>
        <w:pStyle w:val="Heading2"/>
      </w:pPr>
      <w:r>
        <w:t>2.3 阶段成果与证据边界</w:t>
      </w:r>
    </w:p>
    <w:p>
      <w:r>
        <w:t>目前已完成19个基线及当前联合方法6个输出的正式比较，共25个输出×3地区×3seed=225格；旧静态Full/no_fields保留为18格历史结构对照。已有代码与冻结预测的核验、DDNN未截断JSU修复、TimesFM ridge1开发选择和基线数据可用性检查。报告数值以当前CSV和verification.json为准，旧publication.json的21行计数不代表现有主表。</w:t>
      </w:r>
    </w:p>
    <w:p>
      <w:r>
        <w:t>研究仍是回顾性评估：相关年份已被此前实验观察，不应称为独立盲测；当前为固定配置比较，未完成各模型等预算HPO。外生数据已保存的来源时间代理不晚于起点，但真实首次公开发布时间和后续修订尚未全面审计。基础模型的预训练重叠也未审计。上述边界影响外部可复现性和因果解释，不改变本报告对已保存预测数值的客观汇总。</w:t>
      </w:r>
    </w:p>
    <w:p>
      <w:pPr>
        <w:pStyle w:val="Heading1"/>
        <w:pageBreakBefore/>
      </w:pPr>
      <w:r>
        <w:t>3 全部基线论文与方法详解</w:t>
      </w:r>
    </w:p>
    <w:p>
      <w:r>
        <w:t>每项均按“论文思想—本地实现—尖峰预测作用与限制”组织。原论文结果不跨数据集移入本项目总表；第5章全部数字来自本地统一测试。19个基线配置可能共享同一骨干论文，组合方法分别注明校准来源。</w:t>
      </w:r>
    </w:p>
    <w:p>
      <w:pPr>
        <w:pStyle w:val="Heading2"/>
      </w:pPr>
      <w:r>
        <w:t>3.1 Linear：线性结构对照</w:t>
      </w:r>
    </w:p>
    <w:p>
      <w:r>
        <w:t>对应引用：[6]</w:t>
      </w:r>
    </w:p>
    <w:p>
      <w:r>
        <w:t>Zeng 等（2023）的 LTSF-Linear 研究指出，简单线性映射可成为长序列预测的有力基线。本研究的 Linear 是据此构建的本地通用对照，并没有对应的独立“Linear 原论文”。其核心为 q̂τ=Wτp历史+Aτz已知+bτ，以历史价格的线性时间映射加上已知外生信息的线性 adapter，直接产生 24 个时距的五分位预测。</w:t>
      </w:r>
    </w:p>
    <w:p>
      <w:r>
        <w:t>本地实现沿用 DLinear 的参数布局，但关闭移动平均分解；公共训练使用分位损失，而不是照搬原论文的点预测实验。它用于检验复杂表示是否真正超越历史价格、日历及需求等线性可解释信号。对尖峰而言，线性模型能够外推，但无法独立表达稀缺状态下的阈值触发及高阶交互，且尾部事件稀少时会被常态样本主导。</w:t>
      </w:r>
    </w:p>
    <w:p>
      <w:pPr>
        <w:pStyle w:val="Heading2"/>
      </w:pPr>
      <w:r>
        <w:t>3.2 DLinear：趋势与残差分解</w:t>
      </w:r>
    </w:p>
    <w:p>
      <w:r>
        <w:t>对应引用：[6]</w:t>
      </w:r>
    </w:p>
    <w:p>
      <w:r>
        <w:t>Zeng、Chen、Zhang 和 Xu（2023）提出的 DLinear 先用移动平均得到趋势 T=MA(p)，再令季节/残差项 S=p−T，分别线性预测并相加：ŷ=WT T+WS S。其价值是以很少参数将慢变水平和较快波动分开，从而检验 Transformer 的复杂度是否必要。</w:t>
      </w:r>
    </w:p>
    <w:p>
      <w:r>
        <w:t>本地采用长度 25 的移动平均，端点重复填充，增加公共外生 adapter 和五分位输出头；属于参考方法重实现，尚未完成官方权重映射等价验证。该结构适合电价日内波动与水平漂移的廉价建模，但移动平均不包含经济意义的供需状态，历史尖峰可能只表现为残差。若未来极端价格由新出现的稀缺机制触发，线性分解本身不能保证峰值幅度与发生时点准确。</w:t>
      </w:r>
    </w:p>
    <w:p>
      <w:pPr>
        <w:pStyle w:val="Heading2"/>
      </w:pPr>
      <w:r>
        <w:t>3.3 MLP：全输入非线性对照</w:t>
      </w:r>
    </w:p>
    <w:p>
      <w:r>
        <w:t>对应引用：[7]</w:t>
      </w:r>
    </w:p>
    <w:p>
      <w:r>
        <w:t>MLP 为本地通用前馈网络，背景引用 Rumelhart、Hinton 和 Williams（1986）的反向传播工作；该文解释如何通过链式法则把输出误差传回隐层以学习内部表示，并非本项目电价网络的完整原始设计。当前结构将七块公共输入展平为 z，经单隐层 GELU 后输出 24×5 个数，即 q̂=W₂ GELU(W₁z+b₁)+b₂。</w:t>
      </w:r>
    </w:p>
    <w:p>
      <w:r>
        <w:t>本地默认隐层宽度为 64，全部公共信息都进入网络，没有双场模块、显式趋势分解或后置分布假设。这个对照有助于判断改进究竟来自额外输入、一般非线性还是所提出的结构。MLP 可学习价格与外生变量的非线性关系，但缺少时间结构归纳偏置和尖峰专属机制；对少见尾部状态的学习依赖样本覆盖，可能获得较好整体损失而仍漏报极端峰值。</w:t>
      </w:r>
    </w:p>
    <w:p>
      <w:pPr>
        <w:pStyle w:val="Heading2"/>
      </w:pPr>
      <w:r>
        <w:t>3.4 Lasso ARX72 + CP：稀疏线性预测与残差区间</w:t>
      </w:r>
    </w:p>
    <w:p>
      <w:r>
        <w:t>对应引用：[8] [9] [10]</w:t>
      </w:r>
    </w:p>
    <w:p>
      <w:r>
        <w:t>Tibshirani（1996）的 Lasso 通过最小化 (1/2n)‖y−Xβ‖²+λ‖β‖₁ 同时进行回归收缩与变量选择。本研究把 72 小时历史和公共外生特征用于逐时距线性回归，选择正则强度后，以样本外校准残差生成分位区间。这是本地 ARX72+CP，不应称作完整复现电价文献中的 LEAR。</w:t>
      </w:r>
    </w:p>
    <w:p>
      <w:r>
        <w:t>共形预测的方法背景引用 Lei 等（2018）；本地具体公式来自 Lipiecki 与 Weron（2025）的 PostForecasts.jl：q̂τ=ŷ+sgn(τ−0.5)·Quantile|2τ−1|(|y校准−ŷ校准|)，逐时距以 type-7 插值估计残差分位。中位数始终是 Lasso 中心，区间关于中心对称。它可作为低成本、可解释的概率对照，但不能修正尖峰中心的系统性低估，也不能刻画上下尾不对称；由于时间重叠样本不满足交换性且使用插值分位，此实现不主张有限样本覆盖保证。</w:t>
      </w:r>
    </w:p>
    <w:p>
      <w:pPr>
        <w:pStyle w:val="Heading2"/>
      </w:pPr>
      <w:r>
        <w:t>3.5 LightGBM：梯度提升树分位回归</w:t>
      </w:r>
    </w:p>
    <w:p>
      <w:r>
        <w:t>对应引用：[11]</w:t>
      </w:r>
    </w:p>
    <w:p>
      <w:r>
        <w:t>Ke 等（2017）提出 LightGBM，以梯度提升树逐步拟合残差/负梯度，预测可表示为 F(x)=Σmηfm(x)。原论文的核心效率机制包括按梯度大小抽样的 GOSS 与互斥特征捆绑 EFB；这些是库的算法背景，不等于本地实验显式启用了每一个机制。树的分裂可以表达需求、日历、历史价格等变量的阈值与交互。</w:t>
      </w:r>
    </w:p>
    <w:p>
      <w:r>
        <w:t>本地调用官方 lightgbm 库，公共输入统一展平，逐预测时距分别训练五个分位 booster，并以该时距的公共五分位评分联合选择迭代轮数；不是原论文数据集实验复现。分位损失为 ρτ(u)=u[τ−1(u&lt;0)]。它是识别非线性电价状态的重要强基线，但叶节点输出不易外推到训练样本未覆盖的峰值幅度，且没有专门约束跨时距轨迹或极端状态发生机制。</w:t>
      </w:r>
    </w:p>
    <w:p>
      <w:pPr>
        <w:pStyle w:val="Heading2"/>
      </w:pPr>
      <w:r>
        <w:t>3.6 XGBoost：正则化树提升分位回归</w:t>
      </w:r>
    </w:p>
    <w:p>
      <w:r>
        <w:t>对应引用：[12]</w:t>
      </w:r>
    </w:p>
    <w:p>
      <w:r>
        <w:t>Chen 与 Guestrin（2016）提出 XGBoost，目标由经验损失与树复杂度正则项组成：L=Σiℓ(yi,F(xi))+ΣmΩ(fm)，以梯度/曲率信息指导逐步加树，并设计稀疏感知分裂、加权分位草图及工程优化。与简单线性模型相比，提升树能够表示分段非线性和变量交互。</w:t>
      </w:r>
    </w:p>
    <w:p>
      <w:r>
        <w:t>本地使用官方 XGBRegressor，逐时距训练，采用 hist 树方法和 reg:quantileerror 直接预测五个分位，迭代前缀由共同验证指标选择。分位目标是当前库支持的任务配置，并非把 2016 年原论文视作五分位电价模型。该基线可以识别价格抬升的历史阈值条件，但在稀缺状态样本不足、突变机制变化和极端幅度外推上仍受限制；需要将整体评分与尖峰子集评分共同考察。</w:t>
      </w:r>
    </w:p>
    <w:p>
      <w:pPr>
        <w:pStyle w:val="Heading2"/>
      </w:pPr>
      <w:r>
        <w:t>3.7 LightGBM + CP：冻结树中心的对称校准</w:t>
      </w:r>
    </w:p>
    <w:p>
      <w:r>
        <w:t>对应引用：[11] [9] [10] [13]</w:t>
      </w:r>
    </w:p>
    <w:p>
      <w:r>
        <w:t>该组合将 LightGBM 的非线性条件中心与绝对残差校准分开：先冻结原树模型，再在 2022H2 样本外残差上按时距估计区间宽度。Lei 等（2018）提供分割共形方法背景，PostForecasts.jl 提供本地采用的绝对残差/type-7 公式；Lebedev 等（2026，J34）是电价不确定性比较背景，不能被称作该组合的完整复现。</w:t>
      </w:r>
    </w:p>
    <w:p>
      <w:r>
        <w:t>具体为 q̂τ=q̂base,0.5+sgn(τ−0.5)Q|2τ−1|(|y−q̂base,0.5|)。五分位重排后的基座 q50 在校准前后逐位相同，原始冻结预测复现校验也是运行门槛。本方法直接回答“复杂 Anchor 是否超越廉价区间修正”。它能纠正总体区间过窄，却不能改善中位预测和由此定义的 MAE，也不会根据当前稀缺程度动态改变同一时距宽度；尖峰条件覆盖与时间序列有限样本覆盖均不能由总体残差校准自动保证。</w:t>
      </w:r>
    </w:p>
    <w:p>
      <w:pPr>
        <w:pStyle w:val="Heading2"/>
      </w:pPr>
      <w:r>
        <w:t>3.8 XGBoost + CP：更换基座的校准归因对照</w:t>
      </w:r>
    </w:p>
    <w:p>
      <w:r>
        <w:t>对应引用：[12] [9] [10] [13]</w:t>
      </w:r>
    </w:p>
    <w:p>
      <w:r>
        <w:t>XGBoost+CP 采用与 LightGBM+CP 完全一致的校准流程，唯一主要变化是冻结基座换成 XGBoost。原论文谱系分别来自 Chen 与 Guestrin（2016）的树提升、Lei 等（2018）的分割共形背景及 Lipiecki 与 Weron（2025）的软件公式；J34 提供在电价任务上比较不确定性方法的研究背景。</w:t>
      </w:r>
    </w:p>
    <w:p>
      <w:r>
        <w:t>逐时距以 2022H2 的绝对误差经验分位形成对称五分位输出，测试阶段冻结宽度且 q50 等于冻结 XGBoost 的 q50，不新增输入也不重新训练基座。该设计能检验校准收益是否依赖某一种树算法。它与 LightGBM+CP 的共同局限是仅调整区间、无法消除中心偏差；若尖峰误差集中于少数供需失衡状态，固定残差宽度会面临常态过宽与尖峰仍不足的矛盾，不能把总体覆盖率改善直接解释为尖峰预测解决。</w:t>
      </w:r>
    </w:p>
    <w:p>
      <w:pPr>
        <w:pStyle w:val="Heading2"/>
      </w:pPr>
      <w:r>
        <w:t>3.9 LightGBM + QRA：允许中心移动的线性后校准</w:t>
      </w:r>
    </w:p>
    <w:p>
      <w:r>
        <w:t>对应引用：[11] [14] [13]</w:t>
      </w:r>
    </w:p>
    <w:p>
      <w:r>
        <w:t>Nowotarski 与 Weron（2015）提出 QRA，将多个点预测作为解释变量，通过分位回归形成组合概率预测：q̂τ=βτ,0+Σkβτ,k f̂k，系数以 pinball 损失估计。它同时具有预测平均和分位校准作用，是电价概率预测的重要低成本基线；J34 属于相关不确定性比较文献。</w:t>
      </w:r>
    </w:p>
    <w:p>
      <w:r>
        <w:t>本地组合并不使用多个独立模型点预测，而用单个冻结 LightGBM 的排序后五分位及截距构成六维设计矩阵，在 2022H2 对每个时距、每个分位独立拟合无正则精确线性规划（alpha=0，HiGHS），测试期冻结系数。与 CP 不同，QRA 可以改变 q50，因此能修正中心偏差并改变区间不对称性。但它仍是有限预测特征的线性映射，校准期稀少尖峰、外推和制度变化可导致系数不稳定；其收益必须与复杂 Anchor 在相同校准信息预算下对比。</w:t>
      </w:r>
    </w:p>
    <w:p>
      <w:pPr>
        <w:pStyle w:val="Heading2"/>
      </w:pPr>
      <w:r>
        <w:t>3.10 PatchTST：局部片段表示与 Transformer</w:t>
      </w:r>
    </w:p>
    <w:p>
      <w:r>
        <w:t>对应引用：[15] [16]</w:t>
      </w:r>
    </w:p>
    <w:p>
      <w:r>
        <w:t>Nie 等（2023）的 PatchTST 将连续时间点切成 patch，再把片段映射为 token，使用共享权重的通道独立 Transformer 建模较长历史。片段化保留局部形态并减少注意力序列长度。RevIN（Kim 等，2022）对每个样本先归一化、输出后再恢复尺度，缓解训练与测试分布变化。</w:t>
      </w:r>
    </w:p>
    <w:p>
      <w:r>
        <w:t>本地重写 RevIN、patch、注意力层与预测头：价格通道进入 Transformer，外生信息通过线性 adapter 加入，输出为五分位；未完成与官方权重映射的数值等价验证。主要路径可写为 q̂=RevIN⁻¹[Head(Transformer(Patch(RevIN(p))))]+A(z)。它适合学习价格的局部波形与周期关系，但外生交互仅由 adapter 表达，过去波形也未必包含下一次供给约束的信号；因此对孤立尖峰及机制转移的优势需要实测，不能由长序列基准成绩直接推断。</w:t>
      </w:r>
    </w:p>
    <w:p>
      <w:pPr>
        <w:pStyle w:val="Heading2"/>
      </w:pPr>
      <w:r>
        <w:t>3.11 GateTS adapter：注意力启发路由与专家混合</w:t>
      </w:r>
    </w:p>
    <w:p>
      <w:r>
        <w:t>对应引用：[17]</w:t>
      </w:r>
    </w:p>
    <w:p>
      <w:r>
        <w:t>Yemets、Lukashchuk 和 Izonin（2025）的 GateTS 面向单变量时序，利用注意力启发的路由机制选择专家，基本输出形式为 h=Σe∈TopK g_e(x)E_e(x)。其研究重点是在减少额外负载均衡训练负担的同时，让不同专家刻画不同序列形态；报告沿用对应固定代码的 2025 预印本引用。</w:t>
      </w:r>
    </w:p>
    <w:p>
      <w:r>
        <w:t>本地保存官方固定提交骨干，将输出拓宽为 24×5，并额外使用线性已知输入 adapter，故主表 ID 明确为 gatets_adapter。实现会先计算全部专家再施加 top-k 输出掩码，不能直接照搬论文的稀疏计算速度收益。专家分工可能有助于区分平稳与高波动历史，但路由没有显式供需机制监督，外生量仅以加性方式进入，可能在罕见尖峰状态上路由不稳；是否形成有效“尖峰专家”需要额外诊断。</w:t>
      </w:r>
    </w:p>
    <w:p>
      <w:pPr>
        <w:pStyle w:val="Heading2"/>
      </w:pPr>
      <w:r>
        <w:t>3.12 TimeXer：内生片段与外生变量交叉注意力</w:t>
      </w:r>
    </w:p>
    <w:p>
      <w:r>
        <w:t>对应引用：[18]</w:t>
      </w:r>
    </w:p>
    <w:p>
      <w:r>
        <w:t>Wang 等（2024）的 TimeXer 专门研究带外生信息的时间序列预测。内生价格被切成时间片段进行自注意力，外生序列按变量编码；可学习的全局内生 token 通过变量级交叉注意力吸收外生信息，再向价格片段传递。其核心注意力算子为 Attention(Q,K,V)=softmax(QKᵀ/√d)V。</w:t>
      </w:r>
    </w:p>
    <w:p>
      <w:r>
        <w:t>本地保留官方骨干，新增已知未来变量 token 与五分位输出头；历史路径已进行同权重数值比较。历史需求、日历与未来已知日历/外生量由明确分开的合法输入路径接入，不使用未来价格标签。这使其成为“充分利用外生信息是否足够”的重要基线。它具有学习需求与价格非线性耦合的能力，但注意力相关性本身不等于可识别的市场因果机制，也不自动保证上尾校准和稀缺状态的可靠外推。</w:t>
      </w:r>
    </w:p>
    <w:p>
      <w:pPr>
        <w:pStyle w:val="Heading2"/>
      </w:pPr>
      <w:r>
        <w:t>3.13 PriceFM：电价领域 MoE 与图结构迁移的局部实现</w:t>
      </w:r>
    </w:p>
    <w:p>
      <w:r>
        <w:t>对应引用：[19]</w:t>
      </w:r>
    </w:p>
    <w:p>
      <w:r>
        <w:t>Yu 等的 PriceFM（2025 首投，2026 修订）针对欧洲跨区域电价概率预测，将价格与负荷、风光预测等外生变量映射到共享专家表示，并利用输电拓扑形成图约束以聚合区域信息。其研究动机是将市场联系与电力网络知识纳入领域基础模型。</w:t>
      </w:r>
    </w:p>
    <w:p>
      <w:r>
        <w:t>本地固定 2026 年 MoE 代码，从 TensorFlow 移植到 PyTorch，采用历史/未来两条线性投影、softmax 稠密专家加权和图池化；围绕 q50 逐级加减非负增量构造不交叉分位。关键差异是每地区单节点、从头训练，没有多区域预训练或空间迁移，官方 TensorFlow 等价验证尚未通过。因此该行测试的是 PriceFM 架构适配，而不是原文预训练基础模型能力。专家和层级分位有助于非线性和分位一致性，但单节点弱化了原文跨区网络优势，对尖峰的帮助不能借用原文结论。</w:t>
      </w:r>
    </w:p>
    <w:p>
      <w:pPr>
        <w:pStyle w:val="Heading2"/>
      </w:pPr>
      <w:r>
        <w:t>3.14 DDNN-JSU：条件偏态厚尾分布建模</w:t>
      </w:r>
    </w:p>
    <w:p>
      <w:r>
        <w:t>对应引用：[20] [13]</w:t>
      </w:r>
    </w:p>
    <w:p>
      <w:r>
        <w:t>Marcjasz 等（2023）将分布神经网络用于电价预测，网络不只输出均值，而是输出条件分布参数；Johnson SU 能表示偏度、厚尾和负价。J34（Lebedev 等，2026）进一步比较统计与神经方法的不确定性，本地网络形态参考其配套 Normal DDNN，但 JSU 由本地按公式重实现。</w:t>
      </w:r>
    </w:p>
    <w:p>
      <w:r>
        <w:t>本地令 W~N(μw,σw²)，Y=ξ+λsinh(W)，网络逐时距输出四参数，λ、σw 为正；训练使用精确负对数似然，分位为 qτ=ξ+λsinh(μw+σwΦ⁻¹(τ))。这说明 ξ 一般不等于中位数，点指标必须用真实 q50。七块公共输入全部展平，检查点按原价公共 QS 选择而非原文 NLL，且未复现大规模调参。</w:t>
      </w:r>
    </w:p>
    <w:p>
      <w:r>
        <w:t>当前有效版本用 float64 解析逆 CDF，不裁剪 sinh 参数或预测，非有限值报错；早期 ±12 钳位运行只作历史审计。JSU 可表达上尾厚尾，比对称 CP 更灵活，但单一分布族可能无法表达多状态混合，尾部参数也可能放大极端预测；需分别检验概率评分、覆盖、尾部误差和数值稳定性。</w:t>
      </w:r>
    </w:p>
    <w:p>
      <w:pPr>
        <w:pStyle w:val="Heading2"/>
      </w:pPr>
      <w:r>
        <w:t>3.15 NHITS + MC-dropout + QRA：多尺度骨干与后校准</w:t>
      </w:r>
    </w:p>
    <w:p>
      <w:r>
        <w:t>对应引用：[21] [22] [14] [23] [24]</w:t>
      </w:r>
    </w:p>
    <w:p>
      <w:r>
        <w:t>Challu 等（2023）的 NHITS 通过多速率池化、层级插值及残差回投，在不同频率尺度逐块重建历史并累加预测。Gal 与 Ghahramani（2016）的 MC-dropout 在预测时重复开启 dropout，把多次前向结果作为模型不确定性的近似样本；QRA（Nowotarski 与 Weron，2015）再对预测特征拟合条件分位。Lettner 等（2026，P08）把 NHITS+QRA 与基础模型比较，P16 则讨论电价概率校准挑战。</w:t>
      </w:r>
    </w:p>
    <w:p>
      <w:r>
        <w:t>本地移植官方 NHITS 多尺度骨干，保留 MaxPool、插值、残差回投及 naive1 水平初始化，七块输入分别映射到历史、未来及静态外生槽位。先以 MAE 训练并选择点模型，再固定种子做 K=20 次 MC-dropout，仅 dropout 层处于训练模式；MC 样本经验分位作为 QRA 特征，在 2022H2 做无正则 LP 校准，测试期冻结。</w:t>
      </w:r>
    </w:p>
    <w:p>
      <w:r>
        <w:t>这不是 P08/P16 全部实验流程的复现。多尺度结构适合不同时间尺度的波动，但池化和插值可能平滑短促尖峰；MC-dropout 的离散度也不等价于完整数据噪声。QRA 可以改善分位校准，却依赖有限采样与校准期尾部事件的代表性，因此该组合是较强的概率预测对照而非尖峰可靠性的自动保证。</w:t>
      </w:r>
    </w:p>
    <w:p>
      <w:pPr>
        <w:pStyle w:val="Heading2"/>
      </w:pPr>
      <w:r>
        <w:t>3.16 TabPFN-3：冻结表格基础模型与上下文回归</w:t>
      </w:r>
    </w:p>
    <w:p>
      <w:r>
        <w:t>对应引用：[25] [26]</w:t>
      </w:r>
    </w:p>
    <w:p>
      <w:r>
        <w:t>Grinsztajn 等（2026）的《TabPFN-3: Technical Report》是当前 V3 检查点对应主引用；Hollmann 等（2025）的 Nature 论文属于 V2 谱系背景。TabPFN 在合成数据任务上预训练，使模型在一次上下文推断中利用带标签支持样本预测查询样本的条件分布，形式为 pθ(y查询|x查询,D支持)，不需要为每个任务更新权重。</w:t>
      </w:r>
    </w:p>
    <w:p>
      <w:r>
        <w:t>本地显式固定 Prior-Labs/tabpfn_3 的 V3 regressor 检查点，避免包默认构造器解析到其他代际；七块公共输入展平为 1465 列，按 24 个时距建立独立回归任务。train 标签全部作为支持上下文，不使用 selection/calibration 标签，权重保持冻结；因此“无训练权重”不能写成“完全不接触任务标签”。其原生分位包含公共五级，纳入 Q 表。该模型能提供强表格非线性对照，但时间轨迹被拆成独立任务，极端市场状态的泛化仍取决于合成先验与支持集覆盖。</w:t>
      </w:r>
    </w:p>
    <w:p>
      <w:pPr>
        <w:pStyle w:val="Heading2"/>
      </w:pPr>
      <w:r>
        <w:t>3.17 Chronos-2：带协变量的零样本时序基础模型</w:t>
      </w:r>
    </w:p>
    <w:p>
      <w:r>
        <w:t>对应引用：[27]</w:t>
      </w:r>
    </w:p>
    <w:p>
      <w:r>
        <w:t>Ansari 等（2025）的《Chronos-2: From Univariate to Universal Forecasting》通过组注意力在相关序列、变量及协变量之间共享信息，使单变量、多变量与协变量预测都可在冻结模型中完成；合成多变量结构训练支持这种上下文学习能力。当前引用必须与 Chronos-2 对应，而非 Chronos-T5 或 Bolt。</w:t>
      </w:r>
    </w:p>
    <w:p>
      <w:r>
        <w:t>本地固定 amazon/chronos-2，逐起点输入合法 72 小时价格历史、历史需求、过去/未来日历，预测未来 24 小时；cross_learning=False，未微调或后校准。检查点原生 21 个分位级别包含所需五级，进入 Q 表。但 origin_context 和三组仅未来外生块因官方接口缺少合法历史段而未接入，所以它属于受限输入组，不是与完整公共输入模型等信息比较。原生非线性变换与预训练可能帮助尺度适应，但未校准的上尾与不完整外生稀缺信号仍可能限制尖峰预测。</w:t>
      </w:r>
    </w:p>
    <w:p>
      <w:pPr>
        <w:pStyle w:val="Heading2"/>
      </w:pPr>
      <w:r>
        <w:t>3.18 Moirai 2.0：解码器式多分位零样本模型</w:t>
      </w:r>
    </w:p>
    <w:p>
      <w:r>
        <w:t>对应引用：[28]</w:t>
      </w:r>
    </w:p>
    <w:p>
      <w:r>
        <w:t>Liu 等的《Moirai 2.0: When Less Is More for Time Series Forecasting》（2025 首投，2026 修订）采用 decoder-only Transformer、单一 patch 及分位损失，通过多 token 预测和递归多分位解码提高效率。它不同于早期 Moirai 的掩码编码器与混合分布输出，也不同于 Moirai-MoE。本报告保留本地 bib key 以便追溯，但纠正其错误作者与标题。</w:t>
      </w:r>
    </w:p>
    <w:p>
      <w:r>
        <w:t>本地使用固定 uni2ts 提交和 Salesforce/moirai-2.0-R-small 权重，输入价格历史、历史需求和跨过去/未来的日历；缺失 origin_context 与仅未来外生块，属受限输入零样本对照。原生分位只有 0.1 至 0.9，故仅 q50 进入共同点预测 P 表，q10/q90 另作诊断，不外推 q05/q95，也不计算统一五分位 QS。该模型可展示通用先验的迁移能力，但不能用缺失公共尾部分位的输出证明极端区间质量，尖峰表现仍需共同点指标和事件分析。</w:t>
      </w:r>
    </w:p>
    <w:p>
      <w:pPr>
        <w:pStyle w:val="Heading2"/>
      </w:pPr>
      <w:r>
        <w:t>3.19 TimesFM-2.5 + XReg：残差基础模型与逐起点回归</w:t>
      </w:r>
    </w:p>
    <w:p>
      <w:r>
        <w:t>对应引用：[29]</w:t>
      </w:r>
    </w:p>
    <w:p>
      <w:r>
        <w:t>Das、Kong、Sen 和 Zhou（2024）的 TimesFM 工作以输入 patch 和 decoder-only 预训练实现通用时间序列预测；本地实际检查点为 Google 的 2.5 代 200M PyTorch 版本，版本能力需同时以官方模型卡说明，不能把 ICML 2024 原版等同于 2.5。</w:t>
      </w:r>
    </w:p>
    <w:p>
      <w:r>
        <w:t>本地官方 XReg 路径在每个起点的合法 72 小时上下文上拟合回归，先扣除协变量效应，再由 TimesFM 预测残差，最后等量加回各原生通道：q̂τ=X未来β̂+q̂TimesFM,τ(残差历史)。为避免跨起点共享拟合，逐起点独立调用；这属于上下文拟合，并非“完全无拟合”。日历可合法接入，静态气价虽传入却被逐起点中心化消除，需求及仅未来外生块未接入。</w:t>
      </w:r>
    </w:p>
    <w:p>
      <w:r>
        <w:t>模型只有 mean 与 q10–q90 原生通道，因此共同表仅使用原生中位数 P 指标。当前发布配置 ridge=0，维护候选不能提前替换主表；负价任务关闭正值推断截断。短上下文的冗余日历设计、回归外推及受限输入均可能影响尖峰，已有秩与算子诊断只提示敏感性，不能断言全部异常由数值问题造成。</w:t>
      </w:r>
    </w:p>
    <w:p>
      <w:pPr>
        <w:pStyle w:val="Heading1"/>
        <w:pageBreakBefore/>
      </w:pPr>
      <w:r>
        <w:t>4 本研究方法、尝试过程与未解决问题</w:t>
      </w:r>
    </w:p>
    <w:p>
      <w:pPr>
        <w:keepNext/>
      </w:pPr>
      <w:r>
        <w:drawing>
          <wp:inline xmlns:a="http://schemas.openxmlformats.org/drawingml/2006/main" xmlns:pic="http://schemas.openxmlformats.org/drawingml/2006/picture">
            <wp:extent cx="5976000" cy="343249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76000" cy="3432495"/>
                    </a:xfrm>
                    <a:prstGeom prst="rect"/>
                  </pic:spPr>
                </pic:pic>
              </a:graphicData>
            </a:graphic>
          </wp:inline>
        </w:drawing>
      </w:r>
    </w:p>
    <w:p>
      <w:pPr>
        <w:pStyle w:val="Caption"/>
      </w:pPr>
      <w:r>
        <w:t>图1　当前Full_joint的结构概览。7/28天成熟误差统计进入Anchor；历史分支使用当时样本外树预测构造残差。上图为概览，精确公式见下文。</w:t>
      </w:r>
    </w:p>
    <w:p>
      <w:pPr>
        <w:pStyle w:val="Heading2"/>
      </w:pPr>
      <w:r>
        <w:t>4.1 研究问题：尖峰改善必须与常态精度、概率校准同时成立</w:t>
      </w:r>
    </w:p>
    <w:p>
      <w:r>
        <w:t>本研究面向澳大利亚电力市场 NSW1、QLD1、TAS1 的逐小时滚动多步电价预测：在每个起报时刻 t，利用此前 72 小时的价格与负荷观测、日历及当时可获得的外生预测，预测 t 至 t+23h 的电价五分位数（0.05、0.10、0.50、0.90、0.95）。q50 同时作为点预测，价格单位为 AUD/MWh。这属于滚动 24 小时预测，不能写成每天固定时点的标准日前预测。本文将用户所述“尖端电价”具体化为稀少、幅度大、持续时间短的电价尖峰。</w:t>
      </w:r>
    </w:p>
    <w:p>
      <w:r>
        <w:t>尖峰问题包含三个不同目标：能否识别事件将发生、能否定位发生小时、能否预测其强度及上尾风险。当前历史事件分支主要迁移曾被基础模型低估的正向事件；它尚未建立独立的尖峰发生概率模型，负价也尚未作为对称事件单独建模。低频趋势与局部事件分开表达，旨在降低尖峰对背景价格的干扰，并让事件迁移受当前市场条件约束。历史曲线重建准确，不能直接证明未知未来尖峰可预测。</w:t>
      </w:r>
    </w:p>
    <w:p>
      <w:r>
        <w:t>目前证据将研究难点进一步收敛为“校正的可靠性”：少数高价点的误差下降，可能被大量普通价及负价时段的误校正抵消；上尾区间也可能因尺度收缩而损失覆盖。因而最终目标应同时包括总体 MAE/QS、尖峰时段误差、事件误报与漏报、负价表现和区间校准，不能仅用少量尖峰案例或总体 RMSE 改善宣布问题已解决。</w:t>
      </w:r>
    </w:p>
    <w:p>
      <w:pPr>
        <w:pStyle w:val="Heading2"/>
      </w:pPr>
      <w:r>
        <w:t>4.2 方法演进：从历史双场先验到基于强树模型的联合校正</w:t>
      </w:r>
    </w:p>
    <w:p>
      <w:r>
        <w:t>早期静态 full/no_fields 为历史结构对照，与当前 Full_joint 并非同一模型。V3 将历史曲线作固定 DCT/高斯基分解，再检索历史先验并接残差树；其核心局限是候选之间的相对相似性不能证明历史本身可信，非空候选被迫归一化、强制叠加的错误先验会把当前预测推离合理价格水平。2023—2024、seed 2026 的宏 MAE 中，历史特征 LightGBM 为 37.5934，共享检索双场为 44.4362，条件检索双场为 46.4241，原 LightGBM 为 37.0890，说明当时显式双场结构尚未转化为预测增益。</w:t>
      </w:r>
    </w:p>
    <w:p>
      <w:r>
        <w:t>V4 增加可训练历史表示、当前条件直接预测路径及历史可信度选择，并以时间样本外前端产物训练后续树。完整模型相对强制历史略好（宏 MAE 39.4971 对 39.7578），但仍差于原 LightGBM 37.0890。该对比支持“允许拒绝历史”的必要性线索，不能证明所有模块有效，也不能把残差树训练样本减少等协议差异归因于架构。</w:t>
      </w:r>
    </w:p>
    <w:p>
      <w:r>
        <w:t>V5 的初始方向是冻结 LightGBM，先用低容量受限位置/尺度校正，再检验状态匹配的成熟残差能否超过简单的近期误差统计。历史 TE_full 在此基础上使用冻结 C_roll、历史 Fourier 趋势与六个局部脉冲、状态匹配及条件迁移门。它是分阶段冻结链路，而非当前联合模型。其 2022 年 11 月回顾性宏 MAE 为 49.9070，高于同段 LightGBM 45.3950；趋势及事件提案累积了普通时段代价。这段月度结果不能与 2023—2024 主表作绝对数值排名。</w:t>
      </w:r>
    </w:p>
    <w:p>
      <w:r>
        <w:t>随后改为 Full_joint：以跨年度、时间前推的 LightGBM 样本外预测作为固定参照，共同训练状态编码、Anchor 校正、历史双场、匹配、事件移动与采用门。历史候选窗口扩展至 730 天，取消“往年同月同日必须匹配”的条件。当前正式版本在联合模型上进一步加入 Anchor 直接监督、中位数误差约束、相对基础树的移动惩罚，以及分别控制上下尾的非对称尺度头。版本身份为 asymmetric_balance_20261023；不能用旧 C_roll 或旧 TE_full 的结构图描述当前模型。</w:t>
      </w:r>
    </w:p>
    <w:tbl>
      <w:tblPr>
        <w:tblW w:type="auto" w:w="0"/>
        <w:jc w:val="center"/>
        <w:tblLayout w:type="fixed"/>
        <w:tblLook w:firstColumn="1" w:firstRow="1" w:lastColumn="0" w:lastRow="0" w:noHBand="0" w:noVBand="1" w:val="04A0"/>
      </w:tblPr>
      <w:tblGrid>
        <w:gridCol w:w="3184"/>
        <w:gridCol w:w="3184"/>
        <w:gridCol w:w="3184"/>
      </w:tblGrid>
      <w:tr>
        <w:trPr>
          <w:cantSplit/>
          <w:tblHeader/>
        </w:trPr>
        <w:tc>
          <w:tcPr>
            <w:tcW w:type="dxa" w:w="3184"/>
            <w:vAlign w:val="center"/>
            <w:shd w:fill="143E52"/>
          </w:tcPr>
          <w:p>
            <w:pPr>
              <w:keepNext/>
              <w:spacing w:after="60" w:before="60" w:line="259" w:lineRule="auto"/>
            </w:pPr>
            <w:r>
              <w:rPr>
                <w:rFonts w:ascii="Calibri" w:hAnsi="Calibri" w:eastAsia="Noto Sans CJK SC"/>
                <w:b/>
                <w:color w:val="FFFFFF"/>
                <w:sz w:val="17"/>
              </w:rPr>
              <w:t>阶段</w:t>
            </w:r>
          </w:p>
        </w:tc>
        <w:tc>
          <w:tcPr>
            <w:tcW w:type="dxa" w:w="3184"/>
            <w:vAlign w:val="center"/>
            <w:shd w:fill="143E52"/>
          </w:tcPr>
          <w:p>
            <w:pPr>
              <w:keepNext/>
              <w:spacing w:after="60" w:before="60" w:line="259" w:lineRule="auto"/>
            </w:pPr>
            <w:r>
              <w:rPr>
                <w:rFonts w:ascii="Calibri" w:hAnsi="Calibri" w:eastAsia="Noto Sans CJK SC"/>
                <w:b/>
                <w:color w:val="FFFFFF"/>
                <w:sz w:val="17"/>
              </w:rPr>
              <w:t>主要做法</w:t>
            </w:r>
          </w:p>
        </w:tc>
        <w:tc>
          <w:tcPr>
            <w:tcW w:type="dxa" w:w="3184"/>
            <w:vAlign w:val="center"/>
            <w:shd w:fill="143E52"/>
          </w:tcPr>
          <w:p>
            <w:pPr>
              <w:keepNext/>
              <w:spacing w:after="60" w:before="60" w:line="259" w:lineRule="auto"/>
            </w:pPr>
            <w:r>
              <w:rPr>
                <w:rFonts w:ascii="Calibri" w:hAnsi="Calibri" w:eastAsia="Noto Sans CJK SC"/>
                <w:b/>
                <w:color w:val="FFFFFF"/>
                <w:sz w:val="17"/>
              </w:rPr>
              <w:t>已经形成的研究认识</w:t>
            </w:r>
          </w:p>
        </w:tc>
      </w:tr>
      <w:tr>
        <w:trPr>
          <w:cantSplit/>
        </w:trPr>
        <w:tc>
          <w:tcPr>
            <w:tcW w:type="dxa" w:w="3184"/>
            <w:vAlign w:val="center"/>
            <w:shd w:fill="EEF4F7"/>
          </w:tcPr>
          <w:p>
            <w:pPr>
              <w:keepNext/>
              <w:spacing w:after="60" w:before="60" w:line="259" w:lineRule="auto"/>
            </w:pPr>
            <w:r>
              <w:rPr>
                <w:rFonts w:ascii="Calibri" w:hAnsi="Calibri" w:eastAsia="Noto Sans CJK SC"/>
                <w:b w:val="0"/>
                <w:color w:val="172F3B"/>
                <w:sz w:val="17"/>
              </w:rPr>
              <w:t>静态 full / no_fields</w:t>
            </w:r>
          </w:p>
        </w:tc>
        <w:tc>
          <w:tcPr>
            <w:tcW w:type="dxa" w:w="3184"/>
            <w:vAlign w:val="center"/>
            <w:shd w:fill="EEF4F7"/>
          </w:tcPr>
          <w:p>
            <w:pPr>
              <w:keepNext/>
              <w:spacing w:after="60" w:before="60" w:line="259" w:lineRule="auto"/>
            </w:pPr>
            <w:r>
              <w:rPr>
                <w:rFonts w:ascii="Calibri" w:hAnsi="Calibri" w:eastAsia="Noto Sans CJK SC"/>
                <w:b w:val="0"/>
                <w:color w:val="172F3B"/>
                <w:sz w:val="17"/>
              </w:rPr>
              <w:t>趋势—事件表征及无场结构对照</w:t>
            </w:r>
          </w:p>
        </w:tc>
        <w:tc>
          <w:tcPr>
            <w:tcW w:type="dxa" w:w="3184"/>
            <w:vAlign w:val="center"/>
            <w:shd w:fill="EEF4F7"/>
          </w:tcPr>
          <w:p>
            <w:pPr>
              <w:keepNext/>
              <w:spacing w:after="60" w:before="60" w:line="259" w:lineRule="auto"/>
            </w:pPr>
            <w:r>
              <w:rPr>
                <w:rFonts w:ascii="Calibri" w:hAnsi="Calibri" w:eastAsia="Noto Sans CJK SC"/>
                <w:b w:val="0"/>
                <w:color w:val="172F3B"/>
                <w:sz w:val="17"/>
              </w:rPr>
              <w:t>仅保留为历史对照；当前统一口径以排序 q50 计分</w:t>
            </w:r>
          </w:p>
        </w:tc>
      </w:tr>
      <w:tr>
        <w:trPr>
          <w:cantSplit/>
        </w:trPr>
        <w:tc>
          <w:tcPr>
            <w:tcW w:type="dxa" w:w="3184"/>
            <w:vAlign w:val="center"/>
            <w:shd w:fill="FFFFFF"/>
          </w:tcPr>
          <w:p>
            <w:pPr>
              <w:keepNext/>
              <w:spacing w:after="60" w:before="60" w:line="259" w:lineRule="auto"/>
            </w:pPr>
            <w:r>
              <w:rPr>
                <w:rFonts w:ascii="Calibri" w:hAnsi="Calibri" w:eastAsia="Noto Sans CJK SC"/>
                <w:b w:val="0"/>
                <w:color w:val="172F3B"/>
                <w:sz w:val="17"/>
              </w:rPr>
              <w:t>V3</w:t>
            </w:r>
          </w:p>
        </w:tc>
        <w:tc>
          <w:tcPr>
            <w:tcW w:type="dxa" w:w="3184"/>
            <w:vAlign w:val="center"/>
            <w:shd w:fill="FFFFFF"/>
          </w:tcPr>
          <w:p>
            <w:pPr>
              <w:keepNext/>
              <w:spacing w:after="60" w:before="60" w:line="259" w:lineRule="auto"/>
            </w:pPr>
            <w:r>
              <w:rPr>
                <w:rFonts w:ascii="Calibri" w:hAnsi="Calibri" w:eastAsia="Noto Sans CJK SC"/>
                <w:b w:val="0"/>
                <w:color w:val="172F3B"/>
                <w:sz w:val="17"/>
              </w:rPr>
              <w:t>固定历史分解＋检索先验＋残差树</w:t>
            </w:r>
          </w:p>
        </w:tc>
        <w:tc>
          <w:tcPr>
            <w:tcW w:type="dxa" w:w="3184"/>
            <w:vAlign w:val="center"/>
            <w:shd w:fill="FFFFFF"/>
          </w:tcPr>
          <w:p>
            <w:pPr>
              <w:keepNext/>
              <w:spacing w:after="60" w:before="60" w:line="259" w:lineRule="auto"/>
            </w:pPr>
            <w:r>
              <w:rPr>
                <w:rFonts w:ascii="Calibri" w:hAnsi="Calibri" w:eastAsia="Noto Sans CJK SC"/>
                <w:b w:val="0"/>
                <w:color w:val="172F3B"/>
                <w:sz w:val="17"/>
              </w:rPr>
              <w:t>历史强制采用会损伤普通价格预测</w:t>
            </w:r>
          </w:p>
        </w:tc>
      </w:tr>
      <w:tr>
        <w:trPr>
          <w:cantSplit/>
        </w:trPr>
        <w:tc>
          <w:tcPr>
            <w:tcW w:type="dxa" w:w="3184"/>
            <w:vAlign w:val="center"/>
            <w:shd w:fill="EEF4F7"/>
          </w:tcPr>
          <w:p>
            <w:pPr>
              <w:keepNext/>
              <w:spacing w:after="60" w:before="60" w:line="259" w:lineRule="auto"/>
            </w:pPr>
            <w:r>
              <w:rPr>
                <w:rFonts w:ascii="Calibri" w:hAnsi="Calibri" w:eastAsia="Noto Sans CJK SC"/>
                <w:b w:val="0"/>
                <w:color w:val="172F3B"/>
                <w:sz w:val="17"/>
              </w:rPr>
              <w:t>V4</w:t>
            </w:r>
          </w:p>
        </w:tc>
        <w:tc>
          <w:tcPr>
            <w:tcW w:type="dxa" w:w="3184"/>
            <w:vAlign w:val="center"/>
            <w:shd w:fill="EEF4F7"/>
          </w:tcPr>
          <w:p>
            <w:pPr>
              <w:keepNext/>
              <w:spacing w:after="60" w:before="60" w:line="259" w:lineRule="auto"/>
            </w:pPr>
            <w:r>
              <w:rPr>
                <w:rFonts w:ascii="Calibri" w:hAnsi="Calibri" w:eastAsia="Noto Sans CJK SC"/>
                <w:b w:val="0"/>
                <w:color w:val="172F3B"/>
                <w:sz w:val="17"/>
              </w:rPr>
              <w:t>可训练双场＋当前路径＋拒绝历史机制＋树</w:t>
            </w:r>
          </w:p>
        </w:tc>
        <w:tc>
          <w:tcPr>
            <w:tcW w:type="dxa" w:w="3184"/>
            <w:vAlign w:val="center"/>
            <w:shd w:fill="EEF4F7"/>
          </w:tcPr>
          <w:p>
            <w:pPr>
              <w:keepNext/>
              <w:spacing w:after="60" w:before="60" w:line="259" w:lineRule="auto"/>
            </w:pPr>
            <w:r>
              <w:rPr>
                <w:rFonts w:ascii="Calibri" w:hAnsi="Calibri" w:eastAsia="Noto Sans CJK SC"/>
                <w:b w:val="0"/>
                <w:color w:val="172F3B"/>
                <w:sz w:val="17"/>
              </w:rPr>
              <w:t>优于部分历史结构，但未超过强 LightGBM</w:t>
            </w:r>
          </w:p>
        </w:tc>
      </w:tr>
      <w:tr>
        <w:trPr>
          <w:cantSplit/>
        </w:trPr>
        <w:tc>
          <w:tcPr>
            <w:tcW w:type="dxa" w:w="3184"/>
            <w:vAlign w:val="center"/>
            <w:shd w:fill="FFFFFF"/>
          </w:tcPr>
          <w:p>
            <w:pPr>
              <w:keepNext/>
              <w:spacing w:after="60" w:before="60" w:line="259" w:lineRule="auto"/>
            </w:pPr>
            <w:r>
              <w:rPr>
                <w:rFonts w:ascii="Calibri" w:hAnsi="Calibri" w:eastAsia="Noto Sans CJK SC"/>
                <w:b w:val="0"/>
                <w:color w:val="172F3B"/>
                <w:sz w:val="17"/>
              </w:rPr>
              <w:t>V5 / TE_full</w:t>
            </w:r>
          </w:p>
        </w:tc>
        <w:tc>
          <w:tcPr>
            <w:tcW w:type="dxa" w:w="3184"/>
            <w:vAlign w:val="center"/>
            <w:shd w:fill="FFFFFF"/>
          </w:tcPr>
          <w:p>
            <w:pPr>
              <w:keepNext/>
              <w:spacing w:after="60" w:before="60" w:line="259" w:lineRule="auto"/>
            </w:pPr>
            <w:r>
              <w:rPr>
                <w:rFonts w:ascii="Calibri" w:hAnsi="Calibri" w:eastAsia="Noto Sans CJK SC"/>
                <w:b w:val="0"/>
                <w:color w:val="172F3B"/>
                <w:sz w:val="17"/>
              </w:rPr>
              <w:t>冻结基础校正＋成熟趋势/事件误差迁移</w:t>
            </w:r>
          </w:p>
        </w:tc>
        <w:tc>
          <w:tcPr>
            <w:tcW w:type="dxa" w:w="3184"/>
            <w:vAlign w:val="center"/>
            <w:shd w:fill="FFFFFF"/>
          </w:tcPr>
          <w:p>
            <w:pPr>
              <w:keepNext/>
              <w:spacing w:after="60" w:before="60" w:line="259" w:lineRule="auto"/>
            </w:pPr>
            <w:r>
              <w:rPr>
                <w:rFonts w:ascii="Calibri" w:hAnsi="Calibri" w:eastAsia="Noto Sans CJK SC"/>
                <w:b w:val="0"/>
                <w:color w:val="172F3B"/>
                <w:sz w:val="17"/>
              </w:rPr>
              <w:t>局部事件收益不足以抵消趋势和普通时段代价</w:t>
            </w:r>
          </w:p>
        </w:tc>
      </w:tr>
      <w:tr>
        <w:trPr>
          <w:cantSplit/>
        </w:trPr>
        <w:tc>
          <w:tcPr>
            <w:tcW w:type="dxa" w:w="3184"/>
            <w:vAlign w:val="center"/>
            <w:shd w:fill="EEF4F7"/>
          </w:tcPr>
          <w:p>
            <w:pPr>
              <w:keepNext/>
              <w:spacing w:after="60" w:before="60" w:line="259" w:lineRule="auto"/>
            </w:pPr>
            <w:r>
              <w:rPr>
                <w:rFonts w:ascii="Calibri" w:hAnsi="Calibri" w:eastAsia="Noto Sans CJK SC"/>
                <w:b w:val="0"/>
                <w:color w:val="172F3B"/>
                <w:sz w:val="17"/>
              </w:rPr>
              <w:t>旧 Full_joint</w:t>
            </w:r>
          </w:p>
        </w:tc>
        <w:tc>
          <w:tcPr>
            <w:tcW w:type="dxa" w:w="3184"/>
            <w:vAlign w:val="center"/>
            <w:shd w:fill="EEF4F7"/>
          </w:tcPr>
          <w:p>
            <w:pPr>
              <w:keepNext/>
              <w:spacing w:after="60" w:before="60" w:line="259" w:lineRule="auto"/>
            </w:pPr>
            <w:r>
              <w:rPr>
                <w:rFonts w:ascii="Calibri" w:hAnsi="Calibri" w:eastAsia="Noto Sans CJK SC"/>
                <w:b w:val="0"/>
                <w:color w:val="172F3B"/>
                <w:sz w:val="17"/>
              </w:rPr>
              <w:t>OOF 树参照＋神经模块联合训练</w:t>
            </w:r>
          </w:p>
        </w:tc>
        <w:tc>
          <w:tcPr>
            <w:tcW w:type="dxa" w:w="3184"/>
            <w:vAlign w:val="center"/>
            <w:shd w:fill="EEF4F7"/>
          </w:tcPr>
          <w:p>
            <w:pPr>
              <w:keepNext/>
              <w:spacing w:after="60" w:before="60" w:line="259" w:lineRule="auto"/>
            </w:pPr>
            <w:r>
              <w:rPr>
                <w:rFonts w:ascii="Calibri" w:hAnsi="Calibri" w:eastAsia="Noto Sans CJK SC"/>
                <w:b w:val="0"/>
                <w:color w:val="172F3B"/>
                <w:sz w:val="17"/>
              </w:rPr>
              <w:t>历史相对 Anchor 略有益，基础校正仍可能拖累</w:t>
            </w:r>
          </w:p>
        </w:tc>
      </w:tr>
      <w:tr>
        <w:trPr>
          <w:cantSplit/>
        </w:trPr>
        <w:tc>
          <w:tcPr>
            <w:tcW w:type="dxa" w:w="3184"/>
            <w:vAlign w:val="center"/>
            <w:shd w:fill="FFFFFF"/>
          </w:tcPr>
          <w:p>
            <w:pPr>
              <w:keepNext/>
              <w:spacing w:after="60" w:before="60" w:line="259" w:lineRule="auto"/>
            </w:pPr>
            <w:r>
              <w:rPr>
                <w:rFonts w:ascii="Calibri" w:hAnsi="Calibri" w:eastAsia="Noto Sans CJK SC"/>
                <w:b w:val="0"/>
                <w:color w:val="172F3B"/>
                <w:sz w:val="17"/>
              </w:rPr>
              <w:t>当前 Full_joint</w:t>
            </w:r>
          </w:p>
        </w:tc>
        <w:tc>
          <w:tcPr>
            <w:tcW w:type="dxa" w:w="3184"/>
            <w:vAlign w:val="center"/>
            <w:shd w:fill="FFFFFF"/>
          </w:tcPr>
          <w:p>
            <w:pPr>
              <w:keepNext/>
              <w:spacing w:after="60" w:before="60" w:line="259" w:lineRule="auto"/>
            </w:pPr>
            <w:r>
              <w:rPr>
                <w:rFonts w:ascii="Calibri" w:hAnsi="Calibri" w:eastAsia="Noto Sans CJK SC"/>
                <w:b w:val="0"/>
                <w:color w:val="172F3B"/>
                <w:sz w:val="17"/>
              </w:rPr>
              <w:t>平衡目标＋非对称 Anchor＋选择期守护收缩</w:t>
            </w:r>
          </w:p>
        </w:tc>
        <w:tc>
          <w:tcPr>
            <w:tcW w:type="dxa" w:w="3184"/>
            <w:vAlign w:val="center"/>
            <w:shd w:fill="FFFFFF"/>
          </w:tcPr>
          <w:p>
            <w:pPr>
              <w:keepNext/>
              <w:spacing w:after="60" w:before="60" w:line="259" w:lineRule="auto"/>
            </w:pPr>
            <w:r>
              <w:rPr>
                <w:rFonts w:ascii="Calibri" w:hAnsi="Calibri" w:eastAsia="Noto Sans CJK SC"/>
                <w:b w:val="0"/>
                <w:color w:val="172F3B"/>
                <w:sz w:val="17"/>
              </w:rPr>
              <w:t>正式结果已完成；尚未证明稳定超越树基线</w:t>
            </w:r>
          </w:p>
        </w:tc>
      </w:tr>
      <w:tr>
        <w:trPr>
          <w:cantSplit/>
        </w:trPr>
        <w:tc>
          <w:tcPr>
            <w:tcW w:type="dxa" w:w="3184"/>
            <w:vAlign w:val="center"/>
            <w:shd w:fill="EEF4F7"/>
          </w:tcPr>
          <w:p>
            <w:pPr>
              <w:spacing w:after="60" w:before="60" w:line="259" w:lineRule="auto"/>
            </w:pPr>
            <w:r>
              <w:rPr>
                <w:rFonts w:ascii="Calibri" w:hAnsi="Calibri" w:eastAsia="Noto Sans CJK SC"/>
                <w:b w:val="0"/>
                <w:color w:val="172F3B"/>
                <w:sz w:val="17"/>
              </w:rPr>
              <w:t>后续稳健性 / 状态证据</w:t>
            </w:r>
          </w:p>
        </w:tc>
        <w:tc>
          <w:tcPr>
            <w:tcW w:type="dxa" w:w="3184"/>
            <w:vAlign w:val="center"/>
            <w:shd w:fill="EEF4F7"/>
          </w:tcPr>
          <w:p>
            <w:pPr>
              <w:spacing w:after="60" w:before="60" w:line="259" w:lineRule="auto"/>
            </w:pPr>
            <w:r>
              <w:rPr>
                <w:rFonts w:ascii="Calibri" w:hAnsi="Calibri" w:eastAsia="Noto Sans CJK SC"/>
                <w:b w:val="0"/>
                <w:color w:val="172F3B"/>
                <w:sz w:val="17"/>
              </w:rPr>
              <w:t>限幅、跨季度选择、状态约束</w:t>
            </w:r>
          </w:p>
        </w:tc>
        <w:tc>
          <w:tcPr>
            <w:tcW w:type="dxa" w:w="3184"/>
            <w:vAlign w:val="center"/>
            <w:shd w:fill="EEF4F7"/>
          </w:tcPr>
          <w:p>
            <w:pPr>
              <w:spacing w:after="60" w:before="60" w:line="259" w:lineRule="auto"/>
            </w:pPr>
            <w:r>
              <w:rPr>
                <w:rFonts w:ascii="Calibri" w:hAnsi="Calibri" w:eastAsia="Noto Sans CJK SC"/>
                <w:b w:val="0"/>
                <w:color w:val="172F3B"/>
                <w:sz w:val="17"/>
              </w:rPr>
              <w:t>限幅有均值收益；状态机制尚未确认</w:t>
            </w:r>
          </w:p>
        </w:tc>
      </w:tr>
    </w:tbl>
    <w:p>
      <w:pPr>
        <w:spacing w:after="0"/>
      </w:pPr>
    </w:p>
    <w:p>
      <w:pPr>
        <w:pStyle w:val="Heading2"/>
      </w:pPr>
      <w:r>
        <w:t>4.3 当前 Full_joint：输入、Anchor 与历史趋势—事件双场</w:t>
      </w:r>
    </w:p>
    <w:p>
      <w:r>
        <w:t>第一层为每地区独立的 LightGBM 分位数基础模型 B：24 个预测步长 × 5 个分位数，共 120 个 booster，接收完整七块公共输入。历史编码器保留有序的 72×12 价格、负荷和日历块；未来每个小时输入 31 维，包括日历、预调度和互联信息、净负荷、备用短缺特征、燃气上下文及基础五分位。历史与当前记录共享状态编码器，其默认隐藏宽度为 24。基础树独立训练且冻结，不存在“梯度穿过 LightGBM”的端到端训练。</w:t>
      </w:r>
    </w:p>
    <w:p>
      <w:r>
        <w:t>第二层 Anchor 用当前状态和成熟的 7/28 天样本外误差统计进行局部校正。统计包括残差中位数、绝对残差中位数、80%/90% 区间覆盖偏差及样本量。非对称头输出一个位置偏移 δ 和两个正尺度 s−、s+，分别调节中位数以下和以上的区间宽度；零初始化精确对应不校正的基础模型。原始位置边界为 ±150，两个尺度范围为 [0.5,1.5]；只在后续限幅开发候选中改为 ±30 和 [0.9,1.1]，正式主表并未改成限幅版本。</w:t>
      </w:r>
    </w:p>
    <w:p>
      <w:r>
        <w:t>第三层把已经成熟的历史 24 小时真实曲线分解为低频趋势 T 与局部事件 E。趋势由常数和一阶 24 小时 Fourier 基构成；事件由六个局部高斯脉冲表达。局部几何网络调整脉冲中心和宽度，再通过带正则的线性求解求幅度。候选中心选取含离散 top-k 步骤，其余几何、系数、匹配及移动可通过最终预测损失学习。这里是在解释已知过去；当前未来真实电价不进入历史编码或查询输入。</w:t>
      </w:r>
    </w:p>
    <w:p>
      <w:r>
        <w:t>历史误差以该记录当时的样本外基础树预测为参照。趋势残差是历史趋势减去历史 B50 的低通部分；事件残差只保留正向历史事件，并受实际漏报幅度约束，扣除已由正趋势残差解释的部分。这可以避免将历史绝对价格直接搬到当前，也避免把训练后 Anchor 回算到已见标签上再伪装成样本外误差。</w:t>
      </w:r>
    </w:p>
    <w:p>
      <w:pPr>
        <w:spacing w:before="100" w:after="160"/>
        <w:jc w:val="center"/>
      </w:pPr>
      <w:r>
        <w:rPr>
          <w:rFonts w:ascii="Cambria" w:hAnsi="Cambria"/>
          <w:sz w:val="20"/>
        </w:rPr>
        <w:t>δ = 150 tanh(d)，s− = 1 + 0.5 tanh(l)，s+ = 1 + 0.5 tanh(u)</w:t>
      </w:r>
    </w:p>
    <w:p>
      <w:pPr>
        <w:spacing w:before="100" w:after="160"/>
        <w:jc w:val="center"/>
      </w:pPr>
      <w:r>
        <w:rPr>
          <w:rFonts w:ascii="Cambria" w:hAnsi="Cambria"/>
          <w:sz w:val="20"/>
        </w:rPr>
        <w:t>Aτ = B50 + δ + s−(Bτ−B50), τ&lt;0.5；A50 = B50+δ；Aτ = B50 + δ + s+(Bτ−B50), τ&gt;0.5</w:t>
      </w:r>
    </w:p>
    <w:p>
      <w:pPr>
        <w:spacing w:before="100" w:after="160"/>
        <w:jc w:val="center"/>
      </w:pPr>
      <w:r>
        <w:rPr>
          <w:rFonts w:ascii="Cambria" w:hAnsi="Cambria"/>
          <w:sz w:val="20"/>
        </w:rPr>
        <w:t>T(h) = a0 + a1 cos(2πh/24) + a2 sin(2πh/24)；E(h) = Σk ak exp[−(h−μk)²/(2σk²)]</w:t>
      </w:r>
    </w:p>
    <w:p>
      <w:pPr>
        <w:spacing w:before="100" w:after="160"/>
        <w:jc w:val="center"/>
      </w:pPr>
      <w:r>
        <w:rPr>
          <w:rFonts w:ascii="Cambria" w:hAnsi="Cambria"/>
          <w:sz w:val="20"/>
        </w:rPr>
        <w:t>rT = T − LP(B历史,50)；rE = min{max(E,0), max[y历史−B历史,50−max(rT,0),0]}</w:t>
      </w:r>
    </w:p>
    <w:p>
      <w:pPr>
        <w:pStyle w:val="Heading2"/>
      </w:pPr>
      <w:r>
        <w:t>4.4 当前 Full_joint：检索、时间对齐、损失与选择</w:t>
      </w:r>
    </w:p>
    <w:p>
      <w:r>
        <w:t>查询仅可访问同地区、同起报小时、过去 730 天内且完整 24 小时标签已成熟的历史。每次最多 16 个候选，一半优先近期，另一半按已知状态距离补齐。趋势和事件分别学习匹配分数，并加入零值空候选；匹配还使用历史年龄。空候选与 sigmoid 门可弱化历史作用，但一般不能保证数学意义的严格零，完全关闭历史须使用明确的 history_off 干预。</w:t>
      </w:r>
    </w:p>
    <w:p>
      <w:r>
        <w:t>事件时间对齐使用当前目标小时与历史源小时的可学习匹配矩阵，带时间距离惩罚，在 24 小时范围内分配源事件强度且不循环跨越日界。移动阶段保持源事件总强度，后续匹配与采用可以衰减。趋势提案扣除当前位置修正 δ，避免重复补偿同一水平偏差；最终历史修正 R 有界，并对五个分位作相同平移。因此它能改变位置、不能独立扩大上尾宽度，尾部宽度仍由 Anchor 负责。</w:t>
      </w:r>
    </w:p>
    <w:p>
      <w:r>
        <w:t>平衡损失在原 Full 五分位 pinball 之上增加 Anchor pinball、Anchor/Full 的中位数损失和 Anchor 相对 B 的移动惩罚，并保留历史重建与门值正则。价格统一除以 300 只用于数值尺度，并非 asinh 变换。与旧目标只监督 Full 相比，新增损失明确约束基础校正本身，减少“Anchor 先偏移、历史再抵消”而最终总损失仍可下降的空间。是否因此消除失配必须由独立对照判断。</w:t>
      </w:r>
    </w:p>
    <w:p>
      <w:r>
        <w:t>保存 raw 和 guarded 两类输出：raw 按选择期 Full QS 最小选择检查点；guarded 在预设 α∈{0,0.25,0.5,1} 中共同收缩 Anchor 与 Full，要求两者 MAE/QS 均不劣于 B、且 Full 至少一项严格改善。无合格正 α 时回退 B。两类检查点可以不同；正式主方法预先指定 guarded，不能看测试结果后选择 raw。回退是预测保护策略，不是网络学到增益的证据。</w:t>
      </w:r>
    </w:p>
    <w:p>
      <w:r>
        <w:t>当前正式实验使用 2018—2021 年神经训练、2022H1 选择；树拟合 2015—2021、选择 2022H1。2022H2 仅补充合法成熟记忆，不参与本次神经/α 选择。三地区×三个神经种子共 9 次、每次 20 轮全部完成并冻结后评估 2023—2024。树种子固定 2026，神经种子为 2026/2027/2028。报告的种子标准差只衡量神经初始化和训练顺序波动；当前信息集含成熟历史，不能称为与静态基线完全相同历史权限。</w:t>
      </w:r>
    </w:p>
    <w:p>
      <w:pPr>
        <w:spacing w:before="100" w:after="160"/>
        <w:jc w:val="center"/>
      </w:pPr>
      <w:r>
        <w:rPr>
          <w:rFonts w:ascii="Cambria" w:hAnsi="Cambria"/>
          <w:sz w:val="20"/>
        </w:rPr>
        <w:t>ΔT = Σj wT,j(rT,j−δ)；ΔE = Σj wE,j Move(rE,j)</w:t>
      </w:r>
    </w:p>
    <w:p>
      <w:pPr>
        <w:spacing w:before="100" w:after="160"/>
        <w:jc w:val="center"/>
      </w:pPr>
      <w:r>
        <w:rPr>
          <w:rFonts w:ascii="Cambria" w:hAnsi="Cambria"/>
          <w:sz w:val="20"/>
        </w:rPr>
        <w:t>R = 150 tanh[(gTΔT + gEΔE)/150]；Qτ = Aτ + R</w:t>
      </w:r>
    </w:p>
    <w:p>
      <w:pPr>
        <w:spacing w:before="100" w:after="160"/>
        <w:jc w:val="center"/>
      </w:pPr>
      <w:r>
        <w:rPr>
          <w:rFonts w:ascii="Cambria" w:hAnsi="Cambria"/>
          <w:sz w:val="20"/>
        </w:rPr>
        <w:t>L = PB(Q,y)/300 + 0.5 PB(A,y)/300 + 0.5[PB50(A,y)+PB50(Q,y)]/300 + 0.01 mean[((A−B)/300)²] + 0.05 L重建 + 0.001 mean(g)</w:t>
      </w:r>
    </w:p>
    <w:p>
      <w:pPr>
        <w:spacing w:before="100" w:after="160"/>
        <w:jc w:val="center"/>
      </w:pPr>
      <w:r>
        <w:rPr>
          <w:rFonts w:ascii="Cambria" w:hAnsi="Cambria"/>
          <w:sz w:val="20"/>
        </w:rPr>
        <w:t>PB50 = 0.5 MAE；Qguarded = B + α(Q−B)</w:t>
      </w:r>
    </w:p>
    <w:p>
      <w:pPr>
        <w:pStyle w:val="Heading2"/>
      </w:pPr>
      <w:r>
        <w:t>4.5 已完成的证据：历史有局部贡献，但正式主方法仍未胜过基础树</w:t>
      </w:r>
    </w:p>
    <w:p>
      <w:r>
        <w:t>当前三种子正式主表中，Full_joint 宏 MAE 为 37.7828±0.4389、QS 为 24.3922±0.1875；同源 B_retrained 为 37.1132 和 24.1812。Full 相对 B 的 MAE 增加约 0.6696，而相对同检查点 Anchor 的 MAE 改善约 0.1250。结论应表述为：历史分支对当前 Anchor 有小幅平均补偿，但不足以抵消 Anchor 的退化；尚未形成超越强树基线的总体优势。</w:t>
      </w:r>
    </w:p>
    <w:p>
      <w:r>
        <w:t>同检查点关闭事件后的宏 MAE 为 37.7541，关闭时间移动为 37.7768，均略低于 Full 的 37.7828。这些差值说明当前完整配置下未观察到事件和移动机制的总体净收益，但不等于“重训后该模块无用”：这些只是固定检查点的关闭干预，模块间可能存在训练适配，严格消融仍需重新训练。</w:t>
      </w:r>
    </w:p>
    <w:p>
      <w:r>
        <w:t>QLD1 是当前主要问题：Full 相对 B 的 MAE 增加 2.4637，2023/2024 两年均退化、三个 seed 均退化。Anchor 单独增加 2.7615，历史分支挽回 0.2978。80% 覆盖从 B 的 78.06% 降至 Anchor 的 66.41%、Full 的 66.73%，区间宽从 112.3693 缩至 81.0318。固定 Full 中位数而恢复 B 的宽度后，QS 仅减少约 0.0812，仍差于 B，故全部问题不能只归因于尺度头。</w:t>
      </w:r>
    </w:p>
    <w:p>
      <w:r>
        <w:t>按 QLD1 实际价格作事后分组，负价、0–100、100–300 区间对 MAE 差值贡献分别为 +0.9830、+1.1381、+0.8320；300–1000 与 ≥1000 区间分别贡献 −0.2745、−0.2149，说明尖峰点预测有局部收益，但被常见价位损失淹没。≥1000 组对 QS 差值仍贡献 +0.9690，暴露出极端上尾风险。真实价格分组只能解释结果，不能作为部署时路由条件。</w:t>
      </w:r>
    </w:p>
    <w:p>
      <w:pPr>
        <w:pStyle w:val="Heading2"/>
      </w:pPr>
      <w:r>
        <w:t>4.6 开发确认与稳健性：哪些尝试完成，哪些尚未证实</w:t>
      </w:r>
    </w:p>
    <w:p>
      <w:r>
        <w:t>四组 Anchor 确认实验已经完成 72 次拟合：balanced、location_only、identity_anchor、asymmetric_scale，覆盖 2021/2022 开发折、三地区、三个神经 seed，每次 20 轮。四方案均未跨两年通过全部预设门槛。非对称头被作为最新结构报告，并不意味着它从这四组中获胜或已证明稳定成功。</w:t>
      </w:r>
    </w:p>
    <w:p>
      <w:r>
        <w:t>随后完成 36 次物理训练、54 个逻辑方案评估，分别检验跨季度选择和校正限幅。跨季度方案与 reference 共用训练轨迹，仅改变 checkpoint/α 选择，要求四季度各自通过守护；2022 出现 6/9 回退，丢失部分原有收益。限幅保留参数量、损失与原选择规则，只将位置收至 ±30、上下尺度收至 [0.9,1.1]，并保留恒等点的局部梯度。限幅两年均通过三 seed 均值门槛，但仍未通过所有 seed 单独门槛，不能宣布稳定成功，也没有替换正式主表。</w:t>
      </w:r>
    </w:p>
    <w:p>
      <w:r>
        <w:t>最新“供需状态条件下的残差证据约束”已实现并完成无需重训诊断和真实数据短流程，完整 54 次确认尚未启动。状态仅由原输入的备用容量、净负荷、进口/出口余量及覆盖标记定义：供给紧张、紧张且进口受限、供给富余、富余且出口受限、普通、覆盖不足。它们是相对市场状态代理，不能等同于真实拥塞、边际机组身份或完整出清机理。</w:t>
      </w:r>
    </w:p>
    <w:p>
      <w:r>
        <w:t>训练期按日期划分四个连续块，分别计算位置残差方向与上下尾漏出证据，以跨块方向一致度 C 和最低支持日期数形成门值 g=S×C，三个门分别限制位置、下尺度、上尺度。固定门对照与状态门在训练集平均门值相同，用于区分“统一缩小校正”和“按状态分配约束”。门值不是概率、效应大小或因果证据。</w:t>
      </w:r>
    </w:p>
    <w:p>
      <w:r>
        <w:t>第一阶段无需重训诊断并未一致支持假设：弱证据组的校正伤害在 raw 的 6 个地区×年份组合中有 4 个更高，而 guarded 仅 1/6；部分弱组完全由输入覆盖不足构成。已完成的 9 次、每臂 2 轮短流程及相关测试验证的是链路、梯度、冻结和复现，不构成性能确认。下一步应先保留反证并澄清机制，避免把“弱证据导致校正退化”写成已确定根因。</w:t>
      </w:r>
    </w:p>
    <w:p>
      <w:pPr>
        <w:spacing w:before="100" w:after="160"/>
        <w:jc w:val="center"/>
      </w:pPr>
      <w:r>
        <w:rPr>
          <w:rFonts w:ascii="Cambria" w:hAnsi="Cambria"/>
          <w:sz w:val="20"/>
        </w:rPr>
        <w:t>δbounded = 30 tanh[150 tanh(d)/30]；s±,bounded = 1 + 0.1 tanh[0.5 tanh(l或u)/0.1]</w:t>
      </w:r>
    </w:p>
    <w:p>
      <w:pPr>
        <w:spacing w:before="100" w:after="160"/>
        <w:jc w:val="center"/>
      </w:pPr>
      <w:r>
        <w:rPr>
          <w:rFonts w:ascii="Cambria" w:hAnsi="Cambria"/>
          <w:sz w:val="20"/>
        </w:rPr>
        <w:t>C = |Σj vj|/Σj|vj|（零分母时取0）；S = nmin/(nmin+30)；g = S×C</w:t>
      </w:r>
    </w:p>
    <w:p>
      <w:pPr>
        <w:spacing w:before="100" w:after="160"/>
        <w:jc w:val="center"/>
      </w:pPr>
      <w:r>
        <w:rPr>
          <w:rFonts w:ascii="Cambria" w:hAnsi="Cambria"/>
          <w:sz w:val="20"/>
        </w:rPr>
        <w:t>δstate = glocation δbounded；s±,state = 1 + g±(s±,bounded−1)</w:t>
      </w:r>
    </w:p>
    <w:tbl>
      <w:tblPr>
        <w:tblW w:type="auto" w:w="0"/>
        <w:jc w:val="center"/>
        <w:tblLayout w:type="fixed"/>
        <w:tblLook w:firstColumn="1" w:firstRow="1" w:lastColumn="0" w:lastRow="0" w:noHBand="0" w:noVBand="1" w:val="04A0"/>
      </w:tblPr>
      <w:tblGrid>
        <w:gridCol w:w="1911"/>
        <w:gridCol w:w="1911"/>
        <w:gridCol w:w="1911"/>
        <w:gridCol w:w="1911"/>
        <w:gridCol w:w="1911"/>
      </w:tblGrid>
      <w:tr>
        <w:trPr>
          <w:cantSplit/>
          <w:tblHeader/>
        </w:trPr>
        <w:tc>
          <w:tcPr>
            <w:tcW w:type="dxa" w:w="1911"/>
            <w:vAlign w:val="center"/>
            <w:shd w:fill="143E52"/>
          </w:tcPr>
          <w:p>
            <w:pPr>
              <w:keepNext/>
              <w:spacing w:after="60" w:before="60" w:line="259" w:lineRule="auto"/>
            </w:pPr>
            <w:r>
              <w:rPr>
                <w:rFonts w:ascii="Calibri" w:hAnsi="Calibri" w:eastAsia="Noto Sans CJK SC"/>
                <w:b/>
                <w:color w:val="FFFFFF"/>
                <w:sz w:val="17"/>
              </w:rPr>
              <w:t>开发年</w:t>
            </w:r>
          </w:p>
        </w:tc>
        <w:tc>
          <w:tcPr>
            <w:tcW w:type="dxa" w:w="1911"/>
            <w:vAlign w:val="center"/>
            <w:shd w:fill="143E52"/>
          </w:tcPr>
          <w:p>
            <w:pPr>
              <w:keepNext/>
              <w:spacing w:after="60" w:before="60" w:line="259" w:lineRule="auto"/>
            </w:pPr>
            <w:r>
              <w:rPr>
                <w:rFonts w:ascii="Calibri" w:hAnsi="Calibri" w:eastAsia="Noto Sans CJK SC"/>
                <w:b/>
                <w:color w:val="FFFFFF"/>
                <w:sz w:val="17"/>
              </w:rPr>
              <w:t>方案（guarded）</w:t>
            </w:r>
          </w:p>
        </w:tc>
        <w:tc>
          <w:tcPr>
            <w:tcW w:type="dxa" w:w="1911"/>
            <w:vAlign w:val="center"/>
            <w:shd w:fill="143E52"/>
          </w:tcPr>
          <w:p>
            <w:pPr>
              <w:keepNext/>
              <w:spacing w:after="60" w:before="60" w:line="259" w:lineRule="auto"/>
            </w:pPr>
            <w:r>
              <w:rPr>
                <w:rFonts w:ascii="Calibri" w:hAnsi="Calibri" w:eastAsia="Noto Sans CJK SC"/>
                <w:b/>
                <w:color w:val="FFFFFF"/>
                <w:sz w:val="17"/>
              </w:rPr>
              <w:t>宏 MAE±SD</w:t>
            </w:r>
          </w:p>
        </w:tc>
        <w:tc>
          <w:tcPr>
            <w:tcW w:type="dxa" w:w="1911"/>
            <w:vAlign w:val="center"/>
            <w:shd w:fill="143E52"/>
          </w:tcPr>
          <w:p>
            <w:pPr>
              <w:keepNext/>
              <w:spacing w:after="60" w:before="60" w:line="259" w:lineRule="auto"/>
            </w:pPr>
            <w:r>
              <w:rPr>
                <w:rFonts w:ascii="Calibri" w:hAnsi="Calibri" w:eastAsia="Noto Sans CJK SC"/>
                <w:b/>
                <w:color w:val="FFFFFF"/>
                <w:sz w:val="17"/>
              </w:rPr>
              <w:t>宏 QS±SD</w:t>
            </w:r>
          </w:p>
        </w:tc>
        <w:tc>
          <w:tcPr>
            <w:tcW w:type="dxa" w:w="1911"/>
            <w:vAlign w:val="center"/>
            <w:shd w:fill="143E52"/>
          </w:tcPr>
          <w:p>
            <w:pPr>
              <w:keepNext/>
              <w:spacing w:after="60" w:before="60" w:line="259" w:lineRule="auto"/>
            </w:pPr>
            <w:r>
              <w:rPr>
                <w:rFonts w:ascii="Calibri" w:hAnsi="Calibri" w:eastAsia="Noto Sans CJK SC"/>
                <w:b/>
                <w:color w:val="FFFFFF"/>
                <w:sz w:val="17"/>
              </w:rPr>
              <w:t>回退/9</w:t>
            </w:r>
          </w:p>
        </w:tc>
      </w:tr>
      <w:tr>
        <w:trPr>
          <w:cantSplit/>
        </w:trPr>
        <w:tc>
          <w:tcPr>
            <w:tcW w:type="dxa" w:w="1911"/>
            <w:vAlign w:val="center"/>
            <w:shd w:fill="EEF4F7"/>
          </w:tcPr>
          <w:p>
            <w:pPr>
              <w:keepNext/>
              <w:spacing w:after="60" w:before="60" w:line="259" w:lineRule="auto"/>
            </w:pPr>
            <w:r>
              <w:rPr>
                <w:rFonts w:ascii="Calibri" w:hAnsi="Calibri" w:eastAsia="Noto Sans CJK SC"/>
                <w:b w:val="0"/>
                <w:color w:val="172F3B"/>
                <w:sz w:val="17"/>
              </w:rPr>
              <w:t>2021</w:t>
            </w:r>
          </w:p>
        </w:tc>
        <w:tc>
          <w:tcPr>
            <w:tcW w:type="dxa" w:w="1911"/>
            <w:vAlign w:val="center"/>
            <w:shd w:fill="EEF4F7"/>
          </w:tcPr>
          <w:p>
            <w:pPr>
              <w:keepNext/>
              <w:spacing w:after="60" w:before="60" w:line="259" w:lineRule="auto"/>
            </w:pPr>
            <w:r>
              <w:rPr>
                <w:rFonts w:ascii="Calibri" w:hAnsi="Calibri" w:eastAsia="Noto Sans CJK SC"/>
                <w:b w:val="0"/>
                <w:color w:val="172F3B"/>
                <w:sz w:val="17"/>
              </w:rPr>
              <w:t>非对称头 reference</w:t>
            </w:r>
          </w:p>
        </w:tc>
        <w:tc>
          <w:tcPr>
            <w:tcW w:type="dxa" w:w="1911"/>
            <w:vAlign w:val="center"/>
            <w:shd w:fill="EEF4F7"/>
          </w:tcPr>
          <w:p>
            <w:pPr>
              <w:keepNext/>
              <w:spacing w:after="60" w:before="60" w:line="259" w:lineRule="auto"/>
            </w:pPr>
            <w:r>
              <w:rPr>
                <w:rFonts w:ascii="Calibri" w:hAnsi="Calibri" w:eastAsia="Noto Sans CJK SC"/>
                <w:b w:val="0"/>
                <w:color w:val="172F3B"/>
                <w:sz w:val="17"/>
              </w:rPr>
              <w:t>28.0493±0.1066</w:t>
            </w:r>
          </w:p>
        </w:tc>
        <w:tc>
          <w:tcPr>
            <w:tcW w:type="dxa" w:w="1911"/>
            <w:vAlign w:val="center"/>
            <w:shd w:fill="EEF4F7"/>
          </w:tcPr>
          <w:p>
            <w:pPr>
              <w:keepNext/>
              <w:spacing w:after="60" w:before="60" w:line="259" w:lineRule="auto"/>
            </w:pPr>
            <w:r>
              <w:rPr>
                <w:rFonts w:ascii="Calibri" w:hAnsi="Calibri" w:eastAsia="Noto Sans CJK SC"/>
                <w:b w:val="0"/>
                <w:color w:val="172F3B"/>
                <w:sz w:val="17"/>
              </w:rPr>
              <w:t>19.9835±0.2884</w:t>
            </w:r>
          </w:p>
        </w:tc>
        <w:tc>
          <w:tcPr>
            <w:tcW w:type="dxa" w:w="1911"/>
            <w:vAlign w:val="center"/>
            <w:shd w:fill="EEF4F7"/>
          </w:tcPr>
          <w:p>
            <w:pPr>
              <w:keepNext/>
              <w:spacing w:after="60" w:before="60" w:line="259" w:lineRule="auto"/>
            </w:pPr>
            <w:r>
              <w:rPr>
                <w:rFonts w:ascii="Calibri" w:hAnsi="Calibri" w:eastAsia="Noto Sans CJK SC"/>
                <w:b w:val="0"/>
                <w:color w:val="172F3B"/>
                <w:sz w:val="17"/>
              </w:rPr>
              <w:t>3</w:t>
            </w:r>
          </w:p>
        </w:tc>
      </w:tr>
      <w:tr>
        <w:trPr>
          <w:cantSplit/>
        </w:trPr>
        <w:tc>
          <w:tcPr>
            <w:tcW w:type="dxa" w:w="1911"/>
            <w:vAlign w:val="center"/>
            <w:shd w:fill="FFFFFF"/>
          </w:tcPr>
          <w:p>
            <w:pPr>
              <w:keepNext/>
              <w:spacing w:after="60" w:before="60" w:line="259" w:lineRule="auto"/>
            </w:pPr>
            <w:r>
              <w:rPr>
                <w:rFonts w:ascii="Calibri" w:hAnsi="Calibri" w:eastAsia="Noto Sans CJK SC"/>
                <w:b w:val="0"/>
                <w:color w:val="172F3B"/>
                <w:sz w:val="17"/>
              </w:rPr>
              <w:t>2021</w:t>
            </w:r>
          </w:p>
        </w:tc>
        <w:tc>
          <w:tcPr>
            <w:tcW w:type="dxa" w:w="1911"/>
            <w:vAlign w:val="center"/>
            <w:shd w:fill="FFFFFF"/>
          </w:tcPr>
          <w:p>
            <w:pPr>
              <w:keepNext/>
              <w:spacing w:after="60" w:before="60" w:line="259" w:lineRule="auto"/>
            </w:pPr>
            <w:r>
              <w:rPr>
                <w:rFonts w:ascii="Calibri" w:hAnsi="Calibri" w:eastAsia="Noto Sans CJK SC"/>
                <w:b w:val="0"/>
                <w:color w:val="172F3B"/>
                <w:sz w:val="17"/>
              </w:rPr>
              <w:t>跨季度选择</w:t>
            </w:r>
          </w:p>
        </w:tc>
        <w:tc>
          <w:tcPr>
            <w:tcW w:type="dxa" w:w="1911"/>
            <w:vAlign w:val="center"/>
            <w:shd w:fill="FFFFFF"/>
          </w:tcPr>
          <w:p>
            <w:pPr>
              <w:keepNext/>
              <w:spacing w:after="60" w:before="60" w:line="259" w:lineRule="auto"/>
            </w:pPr>
            <w:r>
              <w:rPr>
                <w:rFonts w:ascii="Calibri" w:hAnsi="Calibri" w:eastAsia="Noto Sans CJK SC"/>
                <w:b w:val="0"/>
                <w:color w:val="172F3B"/>
                <w:sz w:val="17"/>
              </w:rPr>
              <w:t>28.0328±0.0596</w:t>
            </w:r>
          </w:p>
        </w:tc>
        <w:tc>
          <w:tcPr>
            <w:tcW w:type="dxa" w:w="1911"/>
            <w:vAlign w:val="center"/>
            <w:shd w:fill="FFFFFF"/>
          </w:tcPr>
          <w:p>
            <w:pPr>
              <w:keepNext/>
              <w:spacing w:after="60" w:before="60" w:line="259" w:lineRule="auto"/>
            </w:pPr>
            <w:r>
              <w:rPr>
                <w:rFonts w:ascii="Calibri" w:hAnsi="Calibri" w:eastAsia="Noto Sans CJK SC"/>
                <w:b w:val="0"/>
                <w:color w:val="172F3B"/>
                <w:sz w:val="17"/>
              </w:rPr>
              <w:t>19.9114±0.1352</w:t>
            </w:r>
          </w:p>
        </w:tc>
        <w:tc>
          <w:tcPr>
            <w:tcW w:type="dxa" w:w="1911"/>
            <w:vAlign w:val="center"/>
            <w:shd w:fill="FFFFFF"/>
          </w:tcPr>
          <w:p>
            <w:pPr>
              <w:keepNext/>
              <w:spacing w:after="60" w:before="60" w:line="259" w:lineRule="auto"/>
            </w:pPr>
            <w:r>
              <w:rPr>
                <w:rFonts w:ascii="Calibri" w:hAnsi="Calibri" w:eastAsia="Noto Sans CJK SC"/>
                <w:b w:val="0"/>
                <w:color w:val="172F3B"/>
                <w:sz w:val="17"/>
              </w:rPr>
              <w:t>3</w:t>
            </w:r>
          </w:p>
        </w:tc>
      </w:tr>
      <w:tr>
        <w:trPr>
          <w:cantSplit/>
        </w:trPr>
        <w:tc>
          <w:tcPr>
            <w:tcW w:type="dxa" w:w="1911"/>
            <w:vAlign w:val="center"/>
            <w:shd w:fill="EEF4F7"/>
          </w:tcPr>
          <w:p>
            <w:pPr>
              <w:keepNext/>
              <w:spacing w:after="60" w:before="60" w:line="259" w:lineRule="auto"/>
            </w:pPr>
            <w:r>
              <w:rPr>
                <w:rFonts w:ascii="Calibri" w:hAnsi="Calibri" w:eastAsia="Noto Sans CJK SC"/>
                <w:b w:val="0"/>
                <w:color w:val="172F3B"/>
                <w:sz w:val="17"/>
              </w:rPr>
              <w:t>2021</w:t>
            </w:r>
          </w:p>
        </w:tc>
        <w:tc>
          <w:tcPr>
            <w:tcW w:type="dxa" w:w="1911"/>
            <w:vAlign w:val="center"/>
            <w:shd w:fill="EEF4F7"/>
          </w:tcPr>
          <w:p>
            <w:pPr>
              <w:keepNext/>
              <w:spacing w:after="60" w:before="60" w:line="259" w:lineRule="auto"/>
            </w:pPr>
            <w:r>
              <w:rPr>
                <w:rFonts w:ascii="Calibri" w:hAnsi="Calibri" w:eastAsia="Noto Sans CJK SC"/>
                <w:b w:val="0"/>
                <w:color w:val="172F3B"/>
                <w:sz w:val="17"/>
              </w:rPr>
              <w:t>校正限幅</w:t>
            </w:r>
          </w:p>
        </w:tc>
        <w:tc>
          <w:tcPr>
            <w:tcW w:type="dxa" w:w="1911"/>
            <w:vAlign w:val="center"/>
            <w:shd w:fill="EEF4F7"/>
          </w:tcPr>
          <w:p>
            <w:pPr>
              <w:keepNext/>
              <w:spacing w:after="60" w:before="60" w:line="259" w:lineRule="auto"/>
            </w:pPr>
            <w:r>
              <w:rPr>
                <w:rFonts w:ascii="Calibri" w:hAnsi="Calibri" w:eastAsia="Noto Sans CJK SC"/>
                <w:b w:val="0"/>
                <w:color w:val="172F3B"/>
                <w:sz w:val="17"/>
              </w:rPr>
              <w:t>28.0391±0.0548</w:t>
            </w:r>
          </w:p>
        </w:tc>
        <w:tc>
          <w:tcPr>
            <w:tcW w:type="dxa" w:w="1911"/>
            <w:vAlign w:val="center"/>
            <w:shd w:fill="EEF4F7"/>
          </w:tcPr>
          <w:p>
            <w:pPr>
              <w:keepNext/>
              <w:spacing w:after="60" w:before="60" w:line="259" w:lineRule="auto"/>
            </w:pPr>
            <w:r>
              <w:rPr>
                <w:rFonts w:ascii="Calibri" w:hAnsi="Calibri" w:eastAsia="Noto Sans CJK SC"/>
                <w:b w:val="0"/>
                <w:color w:val="172F3B"/>
                <w:sz w:val="17"/>
              </w:rPr>
              <w:t>19.8878±0.0445</w:t>
            </w:r>
          </w:p>
        </w:tc>
        <w:tc>
          <w:tcPr>
            <w:tcW w:type="dxa" w:w="1911"/>
            <w:vAlign w:val="center"/>
            <w:shd w:fill="EEF4F7"/>
          </w:tcPr>
          <w:p>
            <w:pPr>
              <w:keepNext/>
              <w:spacing w:after="60" w:before="60" w:line="259" w:lineRule="auto"/>
            </w:pPr>
            <w:r>
              <w:rPr>
                <w:rFonts w:ascii="Calibri" w:hAnsi="Calibri" w:eastAsia="Noto Sans CJK SC"/>
                <w:b w:val="0"/>
                <w:color w:val="172F3B"/>
                <w:sz w:val="17"/>
              </w:rPr>
              <w:t>3</w:t>
            </w:r>
          </w:p>
        </w:tc>
      </w:tr>
      <w:tr>
        <w:trPr>
          <w:cantSplit/>
        </w:trPr>
        <w:tc>
          <w:tcPr>
            <w:tcW w:type="dxa" w:w="1911"/>
            <w:vAlign w:val="center"/>
            <w:shd w:fill="FFFFFF"/>
          </w:tcPr>
          <w:p>
            <w:pPr>
              <w:keepNext/>
              <w:spacing w:after="60" w:before="60" w:line="259" w:lineRule="auto"/>
            </w:pPr>
            <w:r>
              <w:rPr>
                <w:rFonts w:ascii="Calibri" w:hAnsi="Calibri" w:eastAsia="Noto Sans CJK SC"/>
                <w:b w:val="0"/>
                <w:color w:val="172F3B"/>
                <w:sz w:val="17"/>
              </w:rPr>
              <w:t>2022</w:t>
            </w:r>
          </w:p>
        </w:tc>
        <w:tc>
          <w:tcPr>
            <w:tcW w:type="dxa" w:w="1911"/>
            <w:vAlign w:val="center"/>
            <w:shd w:fill="FFFFFF"/>
          </w:tcPr>
          <w:p>
            <w:pPr>
              <w:keepNext/>
              <w:spacing w:after="60" w:before="60" w:line="259" w:lineRule="auto"/>
            </w:pPr>
            <w:r>
              <w:rPr>
                <w:rFonts w:ascii="Calibri" w:hAnsi="Calibri" w:eastAsia="Noto Sans CJK SC"/>
                <w:b w:val="0"/>
                <w:color w:val="172F3B"/>
                <w:sz w:val="17"/>
              </w:rPr>
              <w:t>非对称头 reference</w:t>
            </w:r>
          </w:p>
        </w:tc>
        <w:tc>
          <w:tcPr>
            <w:tcW w:type="dxa" w:w="1911"/>
            <w:vAlign w:val="center"/>
            <w:shd w:fill="FFFFFF"/>
          </w:tcPr>
          <w:p>
            <w:pPr>
              <w:keepNext/>
              <w:spacing w:after="60" w:before="60" w:line="259" w:lineRule="auto"/>
            </w:pPr>
            <w:r>
              <w:rPr>
                <w:rFonts w:ascii="Calibri" w:hAnsi="Calibri" w:eastAsia="Noto Sans CJK SC"/>
                <w:b w:val="0"/>
                <w:color w:val="172F3B"/>
                <w:sz w:val="17"/>
              </w:rPr>
              <w:t>69.6511±0.6045</w:t>
            </w:r>
          </w:p>
        </w:tc>
        <w:tc>
          <w:tcPr>
            <w:tcW w:type="dxa" w:w="1911"/>
            <w:vAlign w:val="center"/>
            <w:shd w:fill="FFFFFF"/>
          </w:tcPr>
          <w:p>
            <w:pPr>
              <w:keepNext/>
              <w:spacing w:after="60" w:before="60" w:line="259" w:lineRule="auto"/>
            </w:pPr>
            <w:r>
              <w:rPr>
                <w:rFonts w:ascii="Calibri" w:hAnsi="Calibri" w:eastAsia="Noto Sans CJK SC"/>
                <w:b w:val="0"/>
                <w:color w:val="172F3B"/>
                <w:sz w:val="17"/>
              </w:rPr>
              <w:t>42.1369±0.1162</w:t>
            </w:r>
          </w:p>
        </w:tc>
        <w:tc>
          <w:tcPr>
            <w:tcW w:type="dxa" w:w="1911"/>
            <w:vAlign w:val="center"/>
            <w:shd w:fill="FFFFFF"/>
          </w:tcPr>
          <w:p>
            <w:pPr>
              <w:keepNext/>
              <w:spacing w:after="60" w:before="60" w:line="259" w:lineRule="auto"/>
            </w:pPr>
            <w:r>
              <w:rPr>
                <w:rFonts w:ascii="Calibri" w:hAnsi="Calibri" w:eastAsia="Noto Sans CJK SC"/>
                <w:b w:val="0"/>
                <w:color w:val="172F3B"/>
                <w:sz w:val="17"/>
              </w:rPr>
              <w:t>2</w:t>
            </w:r>
          </w:p>
        </w:tc>
      </w:tr>
      <w:tr>
        <w:trPr>
          <w:cantSplit/>
        </w:trPr>
        <w:tc>
          <w:tcPr>
            <w:tcW w:type="dxa" w:w="1911"/>
            <w:vAlign w:val="center"/>
            <w:shd w:fill="EEF4F7"/>
          </w:tcPr>
          <w:p>
            <w:pPr>
              <w:keepNext/>
              <w:spacing w:after="60" w:before="60" w:line="259" w:lineRule="auto"/>
            </w:pPr>
            <w:r>
              <w:rPr>
                <w:rFonts w:ascii="Calibri" w:hAnsi="Calibri" w:eastAsia="Noto Sans CJK SC"/>
                <w:b w:val="0"/>
                <w:color w:val="172F3B"/>
                <w:sz w:val="17"/>
              </w:rPr>
              <w:t>2022</w:t>
            </w:r>
          </w:p>
        </w:tc>
        <w:tc>
          <w:tcPr>
            <w:tcW w:type="dxa" w:w="1911"/>
            <w:vAlign w:val="center"/>
            <w:shd w:fill="EEF4F7"/>
          </w:tcPr>
          <w:p>
            <w:pPr>
              <w:keepNext/>
              <w:spacing w:after="60" w:before="60" w:line="259" w:lineRule="auto"/>
            </w:pPr>
            <w:r>
              <w:rPr>
                <w:rFonts w:ascii="Calibri" w:hAnsi="Calibri" w:eastAsia="Noto Sans CJK SC"/>
                <w:b w:val="0"/>
                <w:color w:val="172F3B"/>
                <w:sz w:val="17"/>
              </w:rPr>
              <w:t>跨季度选择</w:t>
            </w:r>
          </w:p>
        </w:tc>
        <w:tc>
          <w:tcPr>
            <w:tcW w:type="dxa" w:w="1911"/>
            <w:vAlign w:val="center"/>
            <w:shd w:fill="EEF4F7"/>
          </w:tcPr>
          <w:p>
            <w:pPr>
              <w:keepNext/>
              <w:spacing w:after="60" w:before="60" w:line="259" w:lineRule="auto"/>
            </w:pPr>
            <w:r>
              <w:rPr>
                <w:rFonts w:ascii="Calibri" w:hAnsi="Calibri" w:eastAsia="Noto Sans CJK SC"/>
                <w:b w:val="0"/>
                <w:color w:val="172F3B"/>
                <w:sz w:val="17"/>
              </w:rPr>
              <w:t>70.5791±0.1015</w:t>
            </w:r>
          </w:p>
        </w:tc>
        <w:tc>
          <w:tcPr>
            <w:tcW w:type="dxa" w:w="1911"/>
            <w:vAlign w:val="center"/>
            <w:shd w:fill="EEF4F7"/>
          </w:tcPr>
          <w:p>
            <w:pPr>
              <w:keepNext/>
              <w:spacing w:after="60" w:before="60" w:line="259" w:lineRule="auto"/>
            </w:pPr>
            <w:r>
              <w:rPr>
                <w:rFonts w:ascii="Calibri" w:hAnsi="Calibri" w:eastAsia="Noto Sans CJK SC"/>
                <w:b w:val="0"/>
                <w:color w:val="172F3B"/>
                <w:sz w:val="17"/>
              </w:rPr>
              <w:t>42.7516±0.0147</w:t>
            </w:r>
          </w:p>
        </w:tc>
        <w:tc>
          <w:tcPr>
            <w:tcW w:type="dxa" w:w="1911"/>
            <w:vAlign w:val="center"/>
            <w:shd w:fill="EEF4F7"/>
          </w:tcPr>
          <w:p>
            <w:pPr>
              <w:keepNext/>
              <w:spacing w:after="60" w:before="60" w:line="259" w:lineRule="auto"/>
            </w:pPr>
            <w:r>
              <w:rPr>
                <w:rFonts w:ascii="Calibri" w:hAnsi="Calibri" w:eastAsia="Noto Sans CJK SC"/>
                <w:b w:val="0"/>
                <w:color w:val="172F3B"/>
                <w:sz w:val="17"/>
              </w:rPr>
              <w:t>6</w:t>
            </w:r>
          </w:p>
        </w:tc>
      </w:tr>
      <w:tr>
        <w:trPr>
          <w:cantSplit/>
        </w:trPr>
        <w:tc>
          <w:tcPr>
            <w:tcW w:type="dxa" w:w="1911"/>
            <w:vAlign w:val="center"/>
            <w:shd w:fill="FFFFFF"/>
          </w:tcPr>
          <w:p>
            <w:pPr>
              <w:spacing w:after="60" w:before="60" w:line="259" w:lineRule="auto"/>
            </w:pPr>
            <w:r>
              <w:rPr>
                <w:rFonts w:ascii="Calibri" w:hAnsi="Calibri" w:eastAsia="Noto Sans CJK SC"/>
                <w:b w:val="0"/>
                <w:color w:val="172F3B"/>
                <w:sz w:val="17"/>
              </w:rPr>
              <w:t>2022</w:t>
            </w:r>
          </w:p>
        </w:tc>
        <w:tc>
          <w:tcPr>
            <w:tcW w:type="dxa" w:w="1911"/>
            <w:vAlign w:val="center"/>
            <w:shd w:fill="FFFFFF"/>
          </w:tcPr>
          <w:p>
            <w:pPr>
              <w:spacing w:after="60" w:before="60" w:line="259" w:lineRule="auto"/>
            </w:pPr>
            <w:r>
              <w:rPr>
                <w:rFonts w:ascii="Calibri" w:hAnsi="Calibri" w:eastAsia="Noto Sans CJK SC"/>
                <w:b w:val="0"/>
                <w:color w:val="172F3B"/>
                <w:sz w:val="17"/>
              </w:rPr>
              <w:t>校正限幅</w:t>
            </w:r>
          </w:p>
        </w:tc>
        <w:tc>
          <w:tcPr>
            <w:tcW w:type="dxa" w:w="1911"/>
            <w:vAlign w:val="center"/>
            <w:shd w:fill="FFFFFF"/>
          </w:tcPr>
          <w:p>
            <w:pPr>
              <w:spacing w:after="60" w:before="60" w:line="259" w:lineRule="auto"/>
            </w:pPr>
            <w:r>
              <w:rPr>
                <w:rFonts w:ascii="Calibri" w:hAnsi="Calibri" w:eastAsia="Noto Sans CJK SC"/>
                <w:b w:val="0"/>
                <w:color w:val="172F3B"/>
                <w:sz w:val="17"/>
              </w:rPr>
              <w:t>68.8435±1.3340</w:t>
            </w:r>
          </w:p>
        </w:tc>
        <w:tc>
          <w:tcPr>
            <w:tcW w:type="dxa" w:w="1911"/>
            <w:vAlign w:val="center"/>
            <w:shd w:fill="FFFFFF"/>
          </w:tcPr>
          <w:p>
            <w:pPr>
              <w:spacing w:after="60" w:before="60" w:line="259" w:lineRule="auto"/>
            </w:pPr>
            <w:r>
              <w:rPr>
                <w:rFonts w:ascii="Calibri" w:hAnsi="Calibri" w:eastAsia="Noto Sans CJK SC"/>
                <w:b w:val="0"/>
                <w:color w:val="172F3B"/>
                <w:sz w:val="17"/>
              </w:rPr>
              <w:t>42.0012±0.3934</w:t>
            </w:r>
          </w:p>
        </w:tc>
        <w:tc>
          <w:tcPr>
            <w:tcW w:type="dxa" w:w="1911"/>
            <w:vAlign w:val="center"/>
            <w:shd w:fill="FFFFFF"/>
          </w:tcPr>
          <w:p>
            <w:pPr>
              <w:spacing w:after="60" w:before="60" w:line="259" w:lineRule="auto"/>
            </w:pPr>
            <w:r>
              <w:rPr>
                <w:rFonts w:ascii="Calibri" w:hAnsi="Calibri" w:eastAsia="Noto Sans CJK SC"/>
                <w:b w:val="0"/>
                <w:color w:val="172F3B"/>
                <w:sz w:val="17"/>
              </w:rPr>
              <w:t>0</w:t>
            </w:r>
          </w:p>
        </w:tc>
      </w:tr>
    </w:tbl>
    <w:p>
      <w:pPr>
        <w:spacing w:after="0"/>
      </w:pPr>
    </w:p>
    <w:p>
      <w:pPr>
        <w:pStyle w:val="Heading2"/>
      </w:pPr>
      <w:r>
        <w:t>4.7 下一步研究组织与可检验贡献</w:t>
      </w:r>
    </w:p>
    <w:p>
      <w:r>
        <w:t>建议先把研究主张收窄为“利用当前市场状态约束历史残差校正的可靠性，并在保住普通时段精度的同时改善尖峰风险预测”。近期优先完成误差来源与对照可解释性，再决定是否运行已实现的 54 次机制确认；不因模型更复杂或短流程可运行而自动扩大训练。</w:t>
      </w:r>
    </w:p>
    <w:p>
      <w:r>
        <w:t>尖峰研究应从单纯追求少量极端点拟合转向事件发生、位置、幅度和尾部概率的分别评价。当前共同平移五分位的历史分支具有明确能力边界，若机制证据成立，下一结构改动才考虑事件概率与幅度分离或上尾专属增量。该方向属于后续提案，不能写入“已完成方法”。</w:t>
      </w:r>
    </w:p>
    <w:p>
      <w:r>
        <w:t>最终贡献需由对照链条支持：若状态方法仅等价于统一收缩，应报告校正保守化有效而非发现供需机制；若历史特征树取得同样收益，则支持信息价值而非专门双场结构必要；若只靠 α=0 回退通过，应报告基础树的稳健性。当前已完成大量方法、时间协议和误差诊断工作，但可靠尖峰预测与总体最优之间的权衡尚未解决。</w:t>
      </w:r>
    </w:p>
    <w:p>
      <w:pPr>
        <w:pStyle w:val="Heading1"/>
        <w:pageBreakBefore/>
      </w:pPr>
      <w:r>
        <w:t>5 全部基线与本研究方法的结果对比</w:t>
      </w:r>
    </w:p>
    <w:p>
      <w:r>
        <w:t>以下是当前25个输出的完整正式结果，价格单位为AUD/MWh。MAE与QS报告三个seed宏平均的均值±样本标准差；RMSE报告地区均值。Q/公共表示完整公共输入、Q/历史表示额外成熟历史、Q/受限和P/受限表示基础模型输入或输出能力受限。数值较小表示误差较低。</w:t>
      </w:r>
    </w:p>
    <w:tbl>
      <w:tblPr>
        <w:tblW w:type="auto" w:w="0"/>
        <w:jc w:val="center"/>
        <w:tblLayout w:type="fixed"/>
        <w:tblLook w:firstColumn="1" w:firstRow="1" w:lastColumn="0" w:lastRow="0" w:noHBand="0" w:noVBand="1" w:val="04A0"/>
      </w:tblPr>
      <w:tblGrid>
        <w:gridCol w:w="2608"/>
        <w:gridCol w:w="907"/>
        <w:gridCol w:w="1984"/>
        <w:gridCol w:w="1984"/>
        <w:gridCol w:w="1531"/>
      </w:tblGrid>
      <w:tr>
        <w:trPr>
          <w:cantSplit/>
          <w:tblHeader/>
        </w:trPr>
        <w:tc>
          <w:tcPr>
            <w:tcW w:type="dxa" w:w="2608"/>
            <w:vAlign w:val="center"/>
            <w:shd w:fill="143E52"/>
          </w:tcPr>
          <w:p>
            <w:pPr>
              <w:spacing w:after="60" w:before="60" w:line="259" w:lineRule="auto"/>
            </w:pPr>
            <w:r>
              <w:rPr>
                <w:rFonts w:ascii="Calibri" w:hAnsi="Calibri" w:eastAsia="Noto Sans CJK SC"/>
                <w:b/>
                <w:color w:val="FFFFFF"/>
                <w:sz w:val="16"/>
              </w:rPr>
              <w:t>模型/输出</w:t>
            </w:r>
          </w:p>
        </w:tc>
        <w:tc>
          <w:tcPr>
            <w:tcW w:type="dxa" w:w="907"/>
            <w:vAlign w:val="center"/>
            <w:shd w:fill="143E52"/>
          </w:tcPr>
          <w:p>
            <w:pPr>
              <w:spacing w:after="60" w:before="60" w:line="259" w:lineRule="auto"/>
            </w:pPr>
            <w:r>
              <w:rPr>
                <w:rFonts w:ascii="Calibri" w:hAnsi="Calibri" w:eastAsia="Noto Sans CJK SC"/>
                <w:b/>
                <w:color w:val="FFFFFF"/>
                <w:sz w:val="16"/>
              </w:rPr>
              <w:t>组别</w:t>
            </w:r>
          </w:p>
        </w:tc>
        <w:tc>
          <w:tcPr>
            <w:tcW w:type="dxa" w:w="1984"/>
            <w:vAlign w:val="center"/>
            <w:shd w:fill="143E52"/>
          </w:tcPr>
          <w:p>
            <w:pPr>
              <w:spacing w:after="60" w:before="60" w:line="259" w:lineRule="auto"/>
            </w:pPr>
            <w:r>
              <w:rPr>
                <w:rFonts w:ascii="Calibri" w:hAnsi="Calibri" w:eastAsia="Noto Sans CJK SC"/>
                <w:b/>
                <w:color w:val="FFFFFF"/>
                <w:sz w:val="16"/>
              </w:rPr>
              <w:t>宏 MAE ↓</w:t>
            </w:r>
          </w:p>
        </w:tc>
        <w:tc>
          <w:tcPr>
            <w:tcW w:type="dxa" w:w="1984"/>
            <w:vAlign w:val="center"/>
            <w:shd w:fill="143E52"/>
          </w:tcPr>
          <w:p>
            <w:pPr>
              <w:spacing w:after="60" w:before="60" w:line="259" w:lineRule="auto"/>
            </w:pPr>
            <w:r>
              <w:rPr>
                <w:rFonts w:ascii="Calibri" w:hAnsi="Calibri" w:eastAsia="Noto Sans CJK SC"/>
                <w:b/>
                <w:color w:val="FFFFFF"/>
                <w:sz w:val="16"/>
              </w:rPr>
              <w:t>宏 QS ↓</w:t>
            </w:r>
          </w:p>
        </w:tc>
        <w:tc>
          <w:tcPr>
            <w:tcW w:type="dxa" w:w="1531"/>
            <w:vAlign w:val="center"/>
            <w:shd w:fill="143E52"/>
          </w:tcPr>
          <w:p>
            <w:pPr>
              <w:spacing w:after="60" w:before="60" w:line="259" w:lineRule="auto"/>
            </w:pPr>
            <w:r>
              <w:rPr>
                <w:rFonts w:ascii="Calibri" w:hAnsi="Calibri" w:eastAsia="Noto Sans CJK SC"/>
                <w:b/>
                <w:color w:val="FFFFFF"/>
                <w:sz w:val="16"/>
              </w:rPr>
              <w:t>RMSE ↓</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LightGBM</w:t>
            </w:r>
          </w:p>
        </w:tc>
        <w:tc>
          <w:tcPr>
            <w:tcW w:type="dxa" w:w="907"/>
            <w:vAlign w:val="center"/>
            <w:shd w:fill="EEF4F7"/>
          </w:tcPr>
          <w:p>
            <w:pPr>
              <w:spacing w:after="60" w:before="60" w:line="259" w:lineRule="auto"/>
            </w:pPr>
            <w:r>
              <w:rPr>
                <w:rFonts w:ascii="Calibri" w:hAnsi="Calibri" w:eastAsia="Noto Sans CJK SC"/>
                <w:b w:val="0"/>
                <w:color w:val="172F3B"/>
                <w:sz w:val="16"/>
              </w:rPr>
              <w:t>Q/公共</w:t>
            </w:r>
          </w:p>
        </w:tc>
        <w:tc>
          <w:tcPr>
            <w:tcW w:type="dxa" w:w="1984"/>
            <w:vAlign w:val="center"/>
            <w:shd w:fill="EEF4F7"/>
          </w:tcPr>
          <w:p>
            <w:pPr>
              <w:spacing w:after="60" w:before="60" w:line="259" w:lineRule="auto"/>
            </w:pPr>
            <w:r>
              <w:rPr>
                <w:rFonts w:ascii="Calibri" w:hAnsi="Calibri" w:eastAsia="Noto Sans CJK SC"/>
                <w:b w:val="0"/>
                <w:color w:val="172F3B"/>
                <w:sz w:val="16"/>
              </w:rPr>
              <w:t>37.101 ± 0.015</w:t>
            </w:r>
          </w:p>
        </w:tc>
        <w:tc>
          <w:tcPr>
            <w:tcW w:type="dxa" w:w="1984"/>
            <w:vAlign w:val="center"/>
            <w:shd w:fill="EEF4F7"/>
          </w:tcPr>
          <w:p>
            <w:pPr>
              <w:spacing w:after="60" w:before="60" w:line="259" w:lineRule="auto"/>
            </w:pPr>
            <w:r>
              <w:rPr>
                <w:rFonts w:ascii="Calibri" w:hAnsi="Calibri" w:eastAsia="Noto Sans CJK SC"/>
                <w:b w:val="0"/>
                <w:color w:val="172F3B"/>
                <w:sz w:val="16"/>
              </w:rPr>
              <w:t>24.191 ± 0.005</w:t>
            </w:r>
          </w:p>
        </w:tc>
        <w:tc>
          <w:tcPr>
            <w:tcW w:type="dxa" w:w="1531"/>
            <w:vAlign w:val="center"/>
            <w:shd w:fill="EEF4F7"/>
          </w:tcPr>
          <w:p>
            <w:pPr>
              <w:spacing w:after="60" w:before="60" w:line="259" w:lineRule="auto"/>
            </w:pPr>
            <w:r>
              <w:rPr>
                <w:rFonts w:ascii="Calibri" w:hAnsi="Calibri" w:eastAsia="Noto Sans CJK SC"/>
                <w:b w:val="0"/>
                <w:color w:val="172F3B"/>
                <w:sz w:val="16"/>
              </w:rPr>
              <w:t>277.064</w:t>
            </w:r>
          </w:p>
        </w:tc>
      </w:tr>
      <w:tr>
        <w:trPr>
          <w:cantSplit/>
        </w:trPr>
        <w:tc>
          <w:tcPr>
            <w:tcW w:type="dxa" w:w="2608"/>
            <w:vAlign w:val="center"/>
            <w:shd w:fill="FFFFFF"/>
          </w:tcPr>
          <w:p>
            <w:pPr>
              <w:spacing w:after="60" w:before="60" w:line="259" w:lineRule="auto"/>
            </w:pPr>
            <w:r>
              <w:rPr>
                <w:rFonts w:ascii="Calibri" w:hAnsi="Calibri" w:eastAsia="Noto Sans CJK SC"/>
                <w:b w:val="0"/>
                <w:color w:val="172F3B"/>
                <w:sz w:val="16"/>
              </w:rPr>
              <w:t>LightGBM+CP</w:t>
            </w:r>
          </w:p>
        </w:tc>
        <w:tc>
          <w:tcPr>
            <w:tcW w:type="dxa" w:w="907"/>
            <w:vAlign w:val="center"/>
            <w:shd w:fill="FFFFFF"/>
          </w:tcPr>
          <w:p>
            <w:pPr>
              <w:spacing w:after="60" w:before="60" w:line="259" w:lineRule="auto"/>
            </w:pPr>
            <w:r>
              <w:rPr>
                <w:rFonts w:ascii="Calibri" w:hAnsi="Calibri" w:eastAsia="Noto Sans CJK SC"/>
                <w:b w:val="0"/>
                <w:color w:val="172F3B"/>
                <w:sz w:val="16"/>
              </w:rPr>
              <w:t>Q/公共</w:t>
            </w:r>
          </w:p>
        </w:tc>
        <w:tc>
          <w:tcPr>
            <w:tcW w:type="dxa" w:w="1984"/>
            <w:vAlign w:val="center"/>
            <w:shd w:fill="FFFFFF"/>
          </w:tcPr>
          <w:p>
            <w:pPr>
              <w:spacing w:after="60" w:before="60" w:line="259" w:lineRule="auto"/>
            </w:pPr>
            <w:r>
              <w:rPr>
                <w:rFonts w:ascii="Calibri" w:hAnsi="Calibri" w:eastAsia="Noto Sans CJK SC"/>
                <w:b w:val="0"/>
                <w:color w:val="172F3B"/>
                <w:sz w:val="16"/>
              </w:rPr>
              <w:t>37.101 ± 0.015</w:t>
            </w:r>
          </w:p>
        </w:tc>
        <w:tc>
          <w:tcPr>
            <w:tcW w:type="dxa" w:w="1984"/>
            <w:vAlign w:val="center"/>
            <w:shd w:fill="FFFFFF"/>
          </w:tcPr>
          <w:p>
            <w:pPr>
              <w:spacing w:after="60" w:before="60" w:line="259" w:lineRule="auto"/>
            </w:pPr>
            <w:r>
              <w:rPr>
                <w:rFonts w:ascii="Calibri" w:hAnsi="Calibri" w:eastAsia="Noto Sans CJK SC"/>
                <w:b w:val="0"/>
                <w:color w:val="172F3B"/>
                <w:sz w:val="16"/>
              </w:rPr>
              <w:t>30.973 ± 0.021</w:t>
            </w:r>
          </w:p>
        </w:tc>
        <w:tc>
          <w:tcPr>
            <w:tcW w:type="dxa" w:w="1531"/>
            <w:vAlign w:val="center"/>
            <w:shd w:fill="FFFFFF"/>
          </w:tcPr>
          <w:p>
            <w:pPr>
              <w:spacing w:after="60" w:before="60" w:line="259" w:lineRule="auto"/>
            </w:pPr>
            <w:r>
              <w:rPr>
                <w:rFonts w:ascii="Calibri" w:hAnsi="Calibri" w:eastAsia="Noto Sans CJK SC"/>
                <w:b w:val="0"/>
                <w:color w:val="172F3B"/>
                <w:sz w:val="16"/>
              </w:rPr>
              <w:t>277.064</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B_retrained（固定树）</w:t>
            </w:r>
          </w:p>
        </w:tc>
        <w:tc>
          <w:tcPr>
            <w:tcW w:type="dxa" w:w="907"/>
            <w:vAlign w:val="center"/>
            <w:shd w:fill="EEF4F7"/>
          </w:tcPr>
          <w:p>
            <w:pPr>
              <w:spacing w:after="60" w:before="60" w:line="259" w:lineRule="auto"/>
            </w:pPr>
            <w:r>
              <w:rPr>
                <w:rFonts w:ascii="Calibri" w:hAnsi="Calibri" w:eastAsia="Noto Sans CJK SC"/>
                <w:b w:val="0"/>
                <w:color w:val="172F3B"/>
                <w:sz w:val="16"/>
              </w:rPr>
              <w:t>Q/公共</w:t>
            </w:r>
          </w:p>
        </w:tc>
        <w:tc>
          <w:tcPr>
            <w:tcW w:type="dxa" w:w="1984"/>
            <w:vAlign w:val="center"/>
            <w:shd w:fill="EEF4F7"/>
          </w:tcPr>
          <w:p>
            <w:pPr>
              <w:spacing w:after="60" w:before="60" w:line="259" w:lineRule="auto"/>
            </w:pPr>
            <w:r>
              <w:rPr>
                <w:rFonts w:ascii="Calibri" w:hAnsi="Calibri" w:eastAsia="Noto Sans CJK SC"/>
                <w:b w:val="0"/>
                <w:color w:val="172F3B"/>
                <w:sz w:val="16"/>
              </w:rPr>
              <w:t>37.113 ± 0.000</w:t>
            </w:r>
          </w:p>
        </w:tc>
        <w:tc>
          <w:tcPr>
            <w:tcW w:type="dxa" w:w="1984"/>
            <w:vAlign w:val="center"/>
            <w:shd w:fill="EEF4F7"/>
          </w:tcPr>
          <w:p>
            <w:pPr>
              <w:spacing w:after="60" w:before="60" w:line="259" w:lineRule="auto"/>
            </w:pPr>
            <w:r>
              <w:rPr>
                <w:rFonts w:ascii="Calibri" w:hAnsi="Calibri" w:eastAsia="Noto Sans CJK SC"/>
                <w:b w:val="0"/>
                <w:color w:val="172F3B"/>
                <w:sz w:val="16"/>
              </w:rPr>
              <w:t>24.181 ± 0.000</w:t>
            </w:r>
          </w:p>
        </w:tc>
        <w:tc>
          <w:tcPr>
            <w:tcW w:type="dxa" w:w="1531"/>
            <w:vAlign w:val="center"/>
            <w:shd w:fill="EEF4F7"/>
          </w:tcPr>
          <w:p>
            <w:pPr>
              <w:spacing w:after="60" w:before="60" w:line="259" w:lineRule="auto"/>
            </w:pPr>
            <w:r>
              <w:rPr>
                <w:rFonts w:ascii="Calibri" w:hAnsi="Calibri" w:eastAsia="Noto Sans CJK SC"/>
                <w:b w:val="0"/>
                <w:color w:val="172F3B"/>
                <w:sz w:val="16"/>
              </w:rPr>
              <w:t>277.090</w:t>
            </w:r>
          </w:p>
        </w:tc>
      </w:tr>
      <w:tr>
        <w:trPr>
          <w:cantSplit/>
        </w:trPr>
        <w:tc>
          <w:tcPr>
            <w:tcW w:type="dxa" w:w="2608"/>
            <w:vAlign w:val="center"/>
            <w:shd w:fill="FFFFFF"/>
          </w:tcPr>
          <w:p>
            <w:pPr>
              <w:spacing w:after="60" w:before="60" w:line="259" w:lineRule="auto"/>
            </w:pPr>
            <w:r>
              <w:rPr>
                <w:rFonts w:ascii="Calibri" w:hAnsi="Calibri" w:eastAsia="Noto Sans CJK SC"/>
                <w:b w:val="0"/>
                <w:color w:val="172F3B"/>
                <w:sz w:val="16"/>
              </w:rPr>
              <w:t>关闭事件项</w:t>
            </w:r>
          </w:p>
        </w:tc>
        <w:tc>
          <w:tcPr>
            <w:tcW w:type="dxa" w:w="907"/>
            <w:vAlign w:val="center"/>
            <w:shd w:fill="FFFFFF"/>
          </w:tcPr>
          <w:p>
            <w:pPr>
              <w:spacing w:after="60" w:before="60" w:line="259" w:lineRule="auto"/>
            </w:pPr>
            <w:r>
              <w:rPr>
                <w:rFonts w:ascii="Calibri" w:hAnsi="Calibri" w:eastAsia="Noto Sans CJK SC"/>
                <w:b w:val="0"/>
                <w:color w:val="172F3B"/>
                <w:sz w:val="16"/>
              </w:rPr>
              <w:t>Q/历史</w:t>
            </w:r>
          </w:p>
        </w:tc>
        <w:tc>
          <w:tcPr>
            <w:tcW w:type="dxa" w:w="1984"/>
            <w:vAlign w:val="center"/>
            <w:shd w:fill="FFFFFF"/>
          </w:tcPr>
          <w:p>
            <w:pPr>
              <w:spacing w:after="60" w:before="60" w:line="259" w:lineRule="auto"/>
            </w:pPr>
            <w:r>
              <w:rPr>
                <w:rFonts w:ascii="Calibri" w:hAnsi="Calibri" w:eastAsia="Noto Sans CJK SC"/>
                <w:b w:val="0"/>
                <w:color w:val="172F3B"/>
                <w:sz w:val="16"/>
              </w:rPr>
              <w:t>37.754 ± 0.454</w:t>
            </w:r>
          </w:p>
        </w:tc>
        <w:tc>
          <w:tcPr>
            <w:tcW w:type="dxa" w:w="1984"/>
            <w:vAlign w:val="center"/>
            <w:shd w:fill="FFFFFF"/>
          </w:tcPr>
          <w:p>
            <w:pPr>
              <w:spacing w:after="60" w:before="60" w:line="259" w:lineRule="auto"/>
            </w:pPr>
            <w:r>
              <w:rPr>
                <w:rFonts w:ascii="Calibri" w:hAnsi="Calibri" w:eastAsia="Noto Sans CJK SC"/>
                <w:b w:val="0"/>
                <w:color w:val="172F3B"/>
                <w:sz w:val="16"/>
              </w:rPr>
              <w:t>24.398 ± 0.196</w:t>
            </w:r>
          </w:p>
        </w:tc>
        <w:tc>
          <w:tcPr>
            <w:tcW w:type="dxa" w:w="1531"/>
            <w:vAlign w:val="center"/>
            <w:shd w:fill="FFFFFF"/>
          </w:tcPr>
          <w:p>
            <w:pPr>
              <w:spacing w:after="60" w:before="60" w:line="259" w:lineRule="auto"/>
            </w:pPr>
            <w:r>
              <w:rPr>
                <w:rFonts w:ascii="Calibri" w:hAnsi="Calibri" w:eastAsia="Noto Sans CJK SC"/>
                <w:b w:val="0"/>
                <w:color w:val="172F3B"/>
                <w:sz w:val="16"/>
              </w:rPr>
              <w:t>275.962</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关闭时间移动</w:t>
            </w:r>
          </w:p>
        </w:tc>
        <w:tc>
          <w:tcPr>
            <w:tcW w:type="dxa" w:w="907"/>
            <w:vAlign w:val="center"/>
            <w:shd w:fill="EEF4F7"/>
          </w:tcPr>
          <w:p>
            <w:pPr>
              <w:spacing w:after="60" w:before="60" w:line="259" w:lineRule="auto"/>
            </w:pPr>
            <w:r>
              <w:rPr>
                <w:rFonts w:ascii="Calibri" w:hAnsi="Calibri" w:eastAsia="Noto Sans CJK SC"/>
                <w:b w:val="0"/>
                <w:color w:val="172F3B"/>
                <w:sz w:val="16"/>
              </w:rPr>
              <w:t>Q/历史</w:t>
            </w:r>
          </w:p>
        </w:tc>
        <w:tc>
          <w:tcPr>
            <w:tcW w:type="dxa" w:w="1984"/>
            <w:vAlign w:val="center"/>
            <w:shd w:fill="EEF4F7"/>
          </w:tcPr>
          <w:p>
            <w:pPr>
              <w:spacing w:after="60" w:before="60" w:line="259" w:lineRule="auto"/>
            </w:pPr>
            <w:r>
              <w:rPr>
                <w:rFonts w:ascii="Calibri" w:hAnsi="Calibri" w:eastAsia="Noto Sans CJK SC"/>
                <w:b w:val="0"/>
                <w:color w:val="172F3B"/>
                <w:sz w:val="16"/>
              </w:rPr>
              <w:t>37.777 ± 0.418</w:t>
            </w:r>
          </w:p>
        </w:tc>
        <w:tc>
          <w:tcPr>
            <w:tcW w:type="dxa" w:w="1984"/>
            <w:vAlign w:val="center"/>
            <w:shd w:fill="EEF4F7"/>
          </w:tcPr>
          <w:p>
            <w:pPr>
              <w:spacing w:after="60" w:before="60" w:line="259" w:lineRule="auto"/>
            </w:pPr>
            <w:r>
              <w:rPr>
                <w:rFonts w:ascii="Calibri" w:hAnsi="Calibri" w:eastAsia="Noto Sans CJK SC"/>
                <w:b w:val="0"/>
                <w:color w:val="172F3B"/>
                <w:sz w:val="16"/>
              </w:rPr>
              <w:t>24.384 ± 0.178</w:t>
            </w:r>
          </w:p>
        </w:tc>
        <w:tc>
          <w:tcPr>
            <w:tcW w:type="dxa" w:w="1531"/>
            <w:vAlign w:val="center"/>
            <w:shd w:fill="EEF4F7"/>
          </w:tcPr>
          <w:p>
            <w:pPr>
              <w:spacing w:after="60" w:before="60" w:line="259" w:lineRule="auto"/>
            </w:pPr>
            <w:r>
              <w:rPr>
                <w:rFonts w:ascii="Calibri" w:hAnsi="Calibri" w:eastAsia="Noto Sans CJK SC"/>
                <w:b w:val="0"/>
                <w:color w:val="172F3B"/>
                <w:sz w:val="16"/>
              </w:rPr>
              <w:t>275.174</w:t>
            </w:r>
          </w:p>
        </w:tc>
      </w:tr>
      <w:tr>
        <w:trPr>
          <w:cantSplit/>
        </w:trPr>
        <w:tc>
          <w:tcPr>
            <w:tcW w:type="dxa" w:w="2608"/>
            <w:vAlign w:val="center"/>
            <w:shd w:fill="FFFFFF"/>
          </w:tcPr>
          <w:p>
            <w:pPr>
              <w:spacing w:after="60" w:before="60" w:line="259" w:lineRule="auto"/>
            </w:pPr>
            <w:r>
              <w:rPr>
                <w:rFonts w:ascii="Calibri" w:hAnsi="Calibri" w:eastAsia="Noto Sans CJK SC"/>
                <w:b w:val="0"/>
                <w:color w:val="172F3B"/>
                <w:sz w:val="16"/>
              </w:rPr>
              <w:t>Full_joint（当前方法）</w:t>
            </w:r>
          </w:p>
        </w:tc>
        <w:tc>
          <w:tcPr>
            <w:tcW w:type="dxa" w:w="907"/>
            <w:vAlign w:val="center"/>
            <w:shd w:fill="FFFFFF"/>
          </w:tcPr>
          <w:p>
            <w:pPr>
              <w:spacing w:after="60" w:before="60" w:line="259" w:lineRule="auto"/>
            </w:pPr>
            <w:r>
              <w:rPr>
                <w:rFonts w:ascii="Calibri" w:hAnsi="Calibri" w:eastAsia="Noto Sans CJK SC"/>
                <w:b w:val="0"/>
                <w:color w:val="172F3B"/>
                <w:sz w:val="16"/>
              </w:rPr>
              <w:t>Q/历史</w:t>
            </w:r>
          </w:p>
        </w:tc>
        <w:tc>
          <w:tcPr>
            <w:tcW w:type="dxa" w:w="1984"/>
            <w:vAlign w:val="center"/>
            <w:shd w:fill="FFFFFF"/>
          </w:tcPr>
          <w:p>
            <w:pPr>
              <w:spacing w:after="60" w:before="60" w:line="259" w:lineRule="auto"/>
            </w:pPr>
            <w:r>
              <w:rPr>
                <w:rFonts w:ascii="Calibri" w:hAnsi="Calibri" w:eastAsia="Noto Sans CJK SC"/>
                <w:b w:val="0"/>
                <w:color w:val="172F3B"/>
                <w:sz w:val="16"/>
              </w:rPr>
              <w:t>37.783 ± 0.439</w:t>
            </w:r>
          </w:p>
        </w:tc>
        <w:tc>
          <w:tcPr>
            <w:tcW w:type="dxa" w:w="1984"/>
            <w:vAlign w:val="center"/>
            <w:shd w:fill="FFFFFF"/>
          </w:tcPr>
          <w:p>
            <w:pPr>
              <w:spacing w:after="60" w:before="60" w:line="259" w:lineRule="auto"/>
            </w:pPr>
            <w:r>
              <w:rPr>
                <w:rFonts w:ascii="Calibri" w:hAnsi="Calibri" w:eastAsia="Noto Sans CJK SC"/>
                <w:b w:val="0"/>
                <w:color w:val="172F3B"/>
                <w:sz w:val="16"/>
              </w:rPr>
              <w:t>24.392 ± 0.188</w:t>
            </w:r>
          </w:p>
        </w:tc>
        <w:tc>
          <w:tcPr>
            <w:tcW w:type="dxa" w:w="1531"/>
            <w:vAlign w:val="center"/>
            <w:shd w:fill="FFFFFF"/>
          </w:tcPr>
          <w:p>
            <w:pPr>
              <w:spacing w:after="60" w:before="60" w:line="259" w:lineRule="auto"/>
            </w:pPr>
            <w:r>
              <w:rPr>
                <w:rFonts w:ascii="Calibri" w:hAnsi="Calibri" w:eastAsia="Noto Sans CJK SC"/>
                <w:b w:val="0"/>
                <w:color w:val="172F3B"/>
                <w:sz w:val="16"/>
              </w:rPr>
              <w:t>275.397</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Anchor_joint</w:t>
            </w:r>
          </w:p>
        </w:tc>
        <w:tc>
          <w:tcPr>
            <w:tcW w:type="dxa" w:w="907"/>
            <w:vAlign w:val="center"/>
            <w:shd w:fill="EEF4F7"/>
          </w:tcPr>
          <w:p>
            <w:pPr>
              <w:spacing w:after="60" w:before="60" w:line="259" w:lineRule="auto"/>
            </w:pPr>
            <w:r>
              <w:rPr>
                <w:rFonts w:ascii="Calibri" w:hAnsi="Calibri" w:eastAsia="Noto Sans CJK SC"/>
                <w:b w:val="0"/>
                <w:color w:val="172F3B"/>
                <w:sz w:val="16"/>
              </w:rPr>
              <w:t>Q/历史</w:t>
            </w:r>
          </w:p>
        </w:tc>
        <w:tc>
          <w:tcPr>
            <w:tcW w:type="dxa" w:w="1984"/>
            <w:vAlign w:val="center"/>
            <w:shd w:fill="EEF4F7"/>
          </w:tcPr>
          <w:p>
            <w:pPr>
              <w:spacing w:after="60" w:before="60" w:line="259" w:lineRule="auto"/>
            </w:pPr>
            <w:r>
              <w:rPr>
                <w:rFonts w:ascii="Calibri" w:hAnsi="Calibri" w:eastAsia="Noto Sans CJK SC"/>
                <w:b w:val="0"/>
                <w:color w:val="172F3B"/>
                <w:sz w:val="16"/>
              </w:rPr>
              <w:t>37.908 ± 0.353</w:t>
            </w:r>
          </w:p>
        </w:tc>
        <w:tc>
          <w:tcPr>
            <w:tcW w:type="dxa" w:w="1984"/>
            <w:vAlign w:val="center"/>
            <w:shd w:fill="EEF4F7"/>
          </w:tcPr>
          <w:p>
            <w:pPr>
              <w:spacing w:after="60" w:before="60" w:line="259" w:lineRule="auto"/>
            </w:pPr>
            <w:r>
              <w:rPr>
                <w:rFonts w:ascii="Calibri" w:hAnsi="Calibri" w:eastAsia="Noto Sans CJK SC"/>
                <w:b w:val="0"/>
                <w:color w:val="172F3B"/>
                <w:sz w:val="16"/>
              </w:rPr>
              <w:t>24.467 ± 0.142</w:t>
            </w:r>
          </w:p>
        </w:tc>
        <w:tc>
          <w:tcPr>
            <w:tcW w:type="dxa" w:w="1531"/>
            <w:vAlign w:val="center"/>
            <w:shd w:fill="EEF4F7"/>
          </w:tcPr>
          <w:p>
            <w:pPr>
              <w:spacing w:after="60" w:before="60" w:line="259" w:lineRule="auto"/>
            </w:pPr>
            <w:r>
              <w:rPr>
                <w:rFonts w:ascii="Calibri" w:hAnsi="Calibri" w:eastAsia="Noto Sans CJK SC"/>
                <w:b w:val="0"/>
                <w:color w:val="172F3B"/>
                <w:sz w:val="16"/>
              </w:rPr>
              <w:t>275.967</w:t>
            </w:r>
          </w:p>
        </w:tc>
      </w:tr>
      <w:tr>
        <w:trPr>
          <w:cantSplit/>
        </w:trPr>
        <w:tc>
          <w:tcPr>
            <w:tcW w:type="dxa" w:w="2608"/>
            <w:vAlign w:val="center"/>
            <w:shd w:fill="FFFFFF"/>
          </w:tcPr>
          <w:p>
            <w:pPr>
              <w:spacing w:after="60" w:before="60" w:line="259" w:lineRule="auto"/>
            </w:pPr>
            <w:r>
              <w:rPr>
                <w:rFonts w:ascii="Calibri" w:hAnsi="Calibri" w:eastAsia="Noto Sans CJK SC"/>
                <w:b w:val="0"/>
                <w:color w:val="172F3B"/>
                <w:sz w:val="16"/>
              </w:rPr>
              <w:t>Full_joint_raw</w:t>
            </w:r>
          </w:p>
        </w:tc>
        <w:tc>
          <w:tcPr>
            <w:tcW w:type="dxa" w:w="907"/>
            <w:vAlign w:val="center"/>
            <w:shd w:fill="FFFFFF"/>
          </w:tcPr>
          <w:p>
            <w:pPr>
              <w:spacing w:after="60" w:before="60" w:line="259" w:lineRule="auto"/>
            </w:pPr>
            <w:r>
              <w:rPr>
                <w:rFonts w:ascii="Calibri" w:hAnsi="Calibri" w:eastAsia="Noto Sans CJK SC"/>
                <w:b w:val="0"/>
                <w:color w:val="172F3B"/>
                <w:sz w:val="16"/>
              </w:rPr>
              <w:t>Q/历史</w:t>
            </w:r>
          </w:p>
        </w:tc>
        <w:tc>
          <w:tcPr>
            <w:tcW w:type="dxa" w:w="1984"/>
            <w:vAlign w:val="center"/>
            <w:shd w:fill="FFFFFF"/>
          </w:tcPr>
          <w:p>
            <w:pPr>
              <w:spacing w:after="60" w:before="60" w:line="259" w:lineRule="auto"/>
            </w:pPr>
            <w:r>
              <w:rPr>
                <w:rFonts w:ascii="Calibri" w:hAnsi="Calibri" w:eastAsia="Noto Sans CJK SC"/>
                <w:b w:val="0"/>
                <w:color w:val="172F3B"/>
                <w:sz w:val="16"/>
              </w:rPr>
              <w:t>37.930 ± 0.498</w:t>
            </w:r>
          </w:p>
        </w:tc>
        <w:tc>
          <w:tcPr>
            <w:tcW w:type="dxa" w:w="1984"/>
            <w:vAlign w:val="center"/>
            <w:shd w:fill="FFFFFF"/>
          </w:tcPr>
          <w:p>
            <w:pPr>
              <w:spacing w:after="60" w:before="60" w:line="259" w:lineRule="auto"/>
            </w:pPr>
            <w:r>
              <w:rPr>
                <w:rFonts w:ascii="Calibri" w:hAnsi="Calibri" w:eastAsia="Noto Sans CJK SC"/>
                <w:b w:val="0"/>
                <w:color w:val="172F3B"/>
                <w:sz w:val="16"/>
              </w:rPr>
              <w:t>24.526 ± 0.262</w:t>
            </w:r>
          </w:p>
        </w:tc>
        <w:tc>
          <w:tcPr>
            <w:tcW w:type="dxa" w:w="1531"/>
            <w:vAlign w:val="center"/>
            <w:shd w:fill="FFFFFF"/>
          </w:tcPr>
          <w:p>
            <w:pPr>
              <w:spacing w:after="60" w:before="60" w:line="259" w:lineRule="auto"/>
            </w:pPr>
            <w:r>
              <w:rPr>
                <w:rFonts w:ascii="Calibri" w:hAnsi="Calibri" w:eastAsia="Noto Sans CJK SC"/>
                <w:b w:val="0"/>
                <w:color w:val="172F3B"/>
                <w:sz w:val="16"/>
              </w:rPr>
              <w:t>275.422</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XGBoost</w:t>
            </w:r>
          </w:p>
        </w:tc>
        <w:tc>
          <w:tcPr>
            <w:tcW w:type="dxa" w:w="907"/>
            <w:vAlign w:val="center"/>
            <w:shd w:fill="EEF4F7"/>
          </w:tcPr>
          <w:p>
            <w:pPr>
              <w:spacing w:after="60" w:before="60" w:line="259" w:lineRule="auto"/>
            </w:pPr>
            <w:r>
              <w:rPr>
                <w:rFonts w:ascii="Calibri" w:hAnsi="Calibri" w:eastAsia="Noto Sans CJK SC"/>
                <w:b w:val="0"/>
                <w:color w:val="172F3B"/>
                <w:sz w:val="16"/>
              </w:rPr>
              <w:t>Q/公共</w:t>
            </w:r>
          </w:p>
        </w:tc>
        <w:tc>
          <w:tcPr>
            <w:tcW w:type="dxa" w:w="1984"/>
            <w:vAlign w:val="center"/>
            <w:shd w:fill="EEF4F7"/>
          </w:tcPr>
          <w:p>
            <w:pPr>
              <w:spacing w:after="60" w:before="60" w:line="259" w:lineRule="auto"/>
            </w:pPr>
            <w:r>
              <w:rPr>
                <w:rFonts w:ascii="Calibri" w:hAnsi="Calibri" w:eastAsia="Noto Sans CJK SC"/>
                <w:b w:val="0"/>
                <w:color w:val="172F3B"/>
                <w:sz w:val="16"/>
              </w:rPr>
              <w:t>37.930 ± 0.074</w:t>
            </w:r>
          </w:p>
        </w:tc>
        <w:tc>
          <w:tcPr>
            <w:tcW w:type="dxa" w:w="1984"/>
            <w:vAlign w:val="center"/>
            <w:shd w:fill="EEF4F7"/>
          </w:tcPr>
          <w:p>
            <w:pPr>
              <w:spacing w:after="60" w:before="60" w:line="259" w:lineRule="auto"/>
            </w:pPr>
            <w:r>
              <w:rPr>
                <w:rFonts w:ascii="Calibri" w:hAnsi="Calibri" w:eastAsia="Noto Sans CJK SC"/>
                <w:b w:val="0"/>
                <w:color w:val="172F3B"/>
                <w:sz w:val="16"/>
              </w:rPr>
              <w:t>25.622 ± 0.019</w:t>
            </w:r>
          </w:p>
        </w:tc>
        <w:tc>
          <w:tcPr>
            <w:tcW w:type="dxa" w:w="1531"/>
            <w:vAlign w:val="center"/>
            <w:shd w:fill="EEF4F7"/>
          </w:tcPr>
          <w:p>
            <w:pPr>
              <w:spacing w:after="60" w:before="60" w:line="259" w:lineRule="auto"/>
            </w:pPr>
            <w:r>
              <w:rPr>
                <w:rFonts w:ascii="Calibri" w:hAnsi="Calibri" w:eastAsia="Noto Sans CJK SC"/>
                <w:b w:val="0"/>
                <w:color w:val="172F3B"/>
                <w:sz w:val="16"/>
              </w:rPr>
              <w:t>277.594</w:t>
            </w:r>
          </w:p>
        </w:tc>
      </w:tr>
      <w:tr>
        <w:trPr>
          <w:cantSplit/>
        </w:trPr>
        <w:tc>
          <w:tcPr>
            <w:tcW w:type="dxa" w:w="2608"/>
            <w:vAlign w:val="center"/>
            <w:shd w:fill="FFFFFF"/>
          </w:tcPr>
          <w:p>
            <w:pPr>
              <w:spacing w:after="60" w:before="60" w:line="259" w:lineRule="auto"/>
            </w:pPr>
            <w:r>
              <w:rPr>
                <w:rFonts w:ascii="Calibri" w:hAnsi="Calibri" w:eastAsia="Noto Sans CJK SC"/>
                <w:b w:val="0"/>
                <w:color w:val="172F3B"/>
                <w:sz w:val="16"/>
              </w:rPr>
              <w:t>XGBoost+CP</w:t>
            </w:r>
          </w:p>
        </w:tc>
        <w:tc>
          <w:tcPr>
            <w:tcW w:type="dxa" w:w="907"/>
            <w:vAlign w:val="center"/>
            <w:shd w:fill="FFFFFF"/>
          </w:tcPr>
          <w:p>
            <w:pPr>
              <w:spacing w:after="60" w:before="60" w:line="259" w:lineRule="auto"/>
            </w:pPr>
            <w:r>
              <w:rPr>
                <w:rFonts w:ascii="Calibri" w:hAnsi="Calibri" w:eastAsia="Noto Sans CJK SC"/>
                <w:b w:val="0"/>
                <w:color w:val="172F3B"/>
                <w:sz w:val="16"/>
              </w:rPr>
              <w:t>Q/公共</w:t>
            </w:r>
          </w:p>
        </w:tc>
        <w:tc>
          <w:tcPr>
            <w:tcW w:type="dxa" w:w="1984"/>
            <w:vAlign w:val="center"/>
            <w:shd w:fill="FFFFFF"/>
          </w:tcPr>
          <w:p>
            <w:pPr>
              <w:spacing w:after="60" w:before="60" w:line="259" w:lineRule="auto"/>
            </w:pPr>
            <w:r>
              <w:rPr>
                <w:rFonts w:ascii="Calibri" w:hAnsi="Calibri" w:eastAsia="Noto Sans CJK SC"/>
                <w:b w:val="0"/>
                <w:color w:val="172F3B"/>
                <w:sz w:val="16"/>
              </w:rPr>
              <w:t>37.930 ± 0.074</w:t>
            </w:r>
          </w:p>
        </w:tc>
        <w:tc>
          <w:tcPr>
            <w:tcW w:type="dxa" w:w="1984"/>
            <w:vAlign w:val="center"/>
            <w:shd w:fill="FFFFFF"/>
          </w:tcPr>
          <w:p>
            <w:pPr>
              <w:spacing w:after="60" w:before="60" w:line="259" w:lineRule="auto"/>
            </w:pPr>
            <w:r>
              <w:rPr>
                <w:rFonts w:ascii="Calibri" w:hAnsi="Calibri" w:eastAsia="Noto Sans CJK SC"/>
                <w:b w:val="0"/>
                <w:color w:val="172F3B"/>
                <w:sz w:val="16"/>
              </w:rPr>
              <w:t>31.325 ± 0.159</w:t>
            </w:r>
          </w:p>
        </w:tc>
        <w:tc>
          <w:tcPr>
            <w:tcW w:type="dxa" w:w="1531"/>
            <w:vAlign w:val="center"/>
            <w:shd w:fill="FFFFFF"/>
          </w:tcPr>
          <w:p>
            <w:pPr>
              <w:spacing w:after="60" w:before="60" w:line="259" w:lineRule="auto"/>
            </w:pPr>
            <w:r>
              <w:rPr>
                <w:rFonts w:ascii="Calibri" w:hAnsi="Calibri" w:eastAsia="Noto Sans CJK SC"/>
                <w:b w:val="0"/>
                <w:color w:val="172F3B"/>
                <w:sz w:val="16"/>
              </w:rPr>
              <w:t>277.594</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LightGBM+QRA</w:t>
            </w:r>
          </w:p>
        </w:tc>
        <w:tc>
          <w:tcPr>
            <w:tcW w:type="dxa" w:w="907"/>
            <w:vAlign w:val="center"/>
            <w:shd w:fill="EEF4F7"/>
          </w:tcPr>
          <w:p>
            <w:pPr>
              <w:spacing w:after="60" w:before="60" w:line="259" w:lineRule="auto"/>
            </w:pPr>
            <w:r>
              <w:rPr>
                <w:rFonts w:ascii="Calibri" w:hAnsi="Calibri" w:eastAsia="Noto Sans CJK SC"/>
                <w:b w:val="0"/>
                <w:color w:val="172F3B"/>
                <w:sz w:val="16"/>
              </w:rPr>
              <w:t>Q/公共</w:t>
            </w:r>
          </w:p>
        </w:tc>
        <w:tc>
          <w:tcPr>
            <w:tcW w:type="dxa" w:w="1984"/>
            <w:vAlign w:val="center"/>
            <w:shd w:fill="EEF4F7"/>
          </w:tcPr>
          <w:p>
            <w:pPr>
              <w:spacing w:after="60" w:before="60" w:line="259" w:lineRule="auto"/>
            </w:pPr>
            <w:r>
              <w:rPr>
                <w:rFonts w:ascii="Calibri" w:hAnsi="Calibri" w:eastAsia="Noto Sans CJK SC"/>
                <w:b w:val="0"/>
                <w:color w:val="172F3B"/>
                <w:sz w:val="16"/>
              </w:rPr>
              <w:t>41.577 ± 0.150</w:t>
            </w:r>
          </w:p>
        </w:tc>
        <w:tc>
          <w:tcPr>
            <w:tcW w:type="dxa" w:w="1984"/>
            <w:vAlign w:val="center"/>
            <w:shd w:fill="EEF4F7"/>
          </w:tcPr>
          <w:p>
            <w:pPr>
              <w:spacing w:after="60" w:before="60" w:line="259" w:lineRule="auto"/>
            </w:pPr>
            <w:r>
              <w:rPr>
                <w:rFonts w:ascii="Calibri" w:hAnsi="Calibri" w:eastAsia="Noto Sans CJK SC"/>
                <w:b w:val="0"/>
                <w:color w:val="172F3B"/>
                <w:sz w:val="16"/>
              </w:rPr>
              <w:t>27.161 ± 0.026</w:t>
            </w:r>
          </w:p>
        </w:tc>
        <w:tc>
          <w:tcPr>
            <w:tcW w:type="dxa" w:w="1531"/>
            <w:vAlign w:val="center"/>
            <w:shd w:fill="EEF4F7"/>
          </w:tcPr>
          <w:p>
            <w:pPr>
              <w:spacing w:after="60" w:before="60" w:line="259" w:lineRule="auto"/>
            </w:pPr>
            <w:r>
              <w:rPr>
                <w:rFonts w:ascii="Calibri" w:hAnsi="Calibri" w:eastAsia="Noto Sans CJK SC"/>
                <w:b w:val="0"/>
                <w:color w:val="172F3B"/>
                <w:sz w:val="16"/>
              </w:rPr>
              <w:t>269.466</w:t>
            </w:r>
          </w:p>
        </w:tc>
      </w:tr>
      <w:tr>
        <w:trPr>
          <w:cantSplit/>
        </w:trPr>
        <w:tc>
          <w:tcPr>
            <w:tcW w:type="dxa" w:w="2608"/>
            <w:vAlign w:val="center"/>
            <w:shd w:fill="FFFFFF"/>
          </w:tcPr>
          <w:p>
            <w:pPr>
              <w:spacing w:after="60" w:before="60" w:line="259" w:lineRule="auto"/>
            </w:pPr>
            <w:r>
              <w:rPr>
                <w:rFonts w:ascii="Calibri" w:hAnsi="Calibri" w:eastAsia="Noto Sans CJK SC"/>
                <w:b w:val="0"/>
                <w:color w:val="172F3B"/>
                <w:sz w:val="16"/>
              </w:rPr>
              <w:t>TabPFN-3</w:t>
            </w:r>
          </w:p>
        </w:tc>
        <w:tc>
          <w:tcPr>
            <w:tcW w:type="dxa" w:w="907"/>
            <w:vAlign w:val="center"/>
            <w:shd w:fill="FFFFFF"/>
          </w:tcPr>
          <w:p>
            <w:pPr>
              <w:spacing w:after="60" w:before="60" w:line="259" w:lineRule="auto"/>
            </w:pPr>
            <w:r>
              <w:rPr>
                <w:rFonts w:ascii="Calibri" w:hAnsi="Calibri" w:eastAsia="Noto Sans CJK SC"/>
                <w:b w:val="0"/>
                <w:color w:val="172F3B"/>
                <w:sz w:val="16"/>
              </w:rPr>
              <w:t>Q/公共</w:t>
            </w:r>
          </w:p>
        </w:tc>
        <w:tc>
          <w:tcPr>
            <w:tcW w:type="dxa" w:w="1984"/>
            <w:vAlign w:val="center"/>
            <w:shd w:fill="FFFFFF"/>
          </w:tcPr>
          <w:p>
            <w:pPr>
              <w:spacing w:after="60" w:before="60" w:line="259" w:lineRule="auto"/>
            </w:pPr>
            <w:r>
              <w:rPr>
                <w:rFonts w:ascii="Calibri" w:hAnsi="Calibri" w:eastAsia="Noto Sans CJK SC"/>
                <w:b w:val="0"/>
                <w:color w:val="172F3B"/>
                <w:sz w:val="16"/>
              </w:rPr>
              <w:t>44.134 ± 0.040</w:t>
            </w:r>
          </w:p>
        </w:tc>
        <w:tc>
          <w:tcPr>
            <w:tcW w:type="dxa" w:w="1984"/>
            <w:vAlign w:val="center"/>
            <w:shd w:fill="FFFFFF"/>
          </w:tcPr>
          <w:p>
            <w:pPr>
              <w:spacing w:after="60" w:before="60" w:line="259" w:lineRule="auto"/>
            </w:pPr>
            <w:r>
              <w:rPr>
                <w:rFonts w:ascii="Calibri" w:hAnsi="Calibri" w:eastAsia="Noto Sans CJK SC"/>
                <w:b w:val="0"/>
                <w:color w:val="172F3B"/>
                <w:sz w:val="16"/>
              </w:rPr>
              <w:t>39.479 ± 0.112</w:t>
            </w:r>
          </w:p>
        </w:tc>
        <w:tc>
          <w:tcPr>
            <w:tcW w:type="dxa" w:w="1531"/>
            <w:vAlign w:val="center"/>
            <w:shd w:fill="FFFFFF"/>
          </w:tcPr>
          <w:p>
            <w:pPr>
              <w:spacing w:after="60" w:before="60" w:line="259" w:lineRule="auto"/>
            </w:pPr>
            <w:r>
              <w:rPr>
                <w:rFonts w:ascii="Calibri" w:hAnsi="Calibri" w:eastAsia="Noto Sans CJK SC"/>
                <w:b w:val="0"/>
                <w:color w:val="172F3B"/>
                <w:sz w:val="16"/>
              </w:rPr>
              <w:t>275.380</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PatchTST</w:t>
            </w:r>
          </w:p>
        </w:tc>
        <w:tc>
          <w:tcPr>
            <w:tcW w:type="dxa" w:w="907"/>
            <w:vAlign w:val="center"/>
            <w:shd w:fill="EEF4F7"/>
          </w:tcPr>
          <w:p>
            <w:pPr>
              <w:spacing w:after="60" w:before="60" w:line="259" w:lineRule="auto"/>
            </w:pPr>
            <w:r>
              <w:rPr>
                <w:rFonts w:ascii="Calibri" w:hAnsi="Calibri" w:eastAsia="Noto Sans CJK SC"/>
                <w:b w:val="0"/>
                <w:color w:val="172F3B"/>
                <w:sz w:val="16"/>
              </w:rPr>
              <w:t>Q/公共</w:t>
            </w:r>
          </w:p>
        </w:tc>
        <w:tc>
          <w:tcPr>
            <w:tcW w:type="dxa" w:w="1984"/>
            <w:vAlign w:val="center"/>
            <w:shd w:fill="EEF4F7"/>
          </w:tcPr>
          <w:p>
            <w:pPr>
              <w:spacing w:after="60" w:before="60" w:line="259" w:lineRule="auto"/>
            </w:pPr>
            <w:r>
              <w:rPr>
                <w:rFonts w:ascii="Calibri" w:hAnsi="Calibri" w:eastAsia="Noto Sans CJK SC"/>
                <w:b w:val="0"/>
                <w:color w:val="172F3B"/>
                <w:sz w:val="16"/>
              </w:rPr>
              <w:t>44.764 ± 0.456</w:t>
            </w:r>
          </w:p>
        </w:tc>
        <w:tc>
          <w:tcPr>
            <w:tcW w:type="dxa" w:w="1984"/>
            <w:vAlign w:val="center"/>
            <w:shd w:fill="EEF4F7"/>
          </w:tcPr>
          <w:p>
            <w:pPr>
              <w:spacing w:after="60" w:before="60" w:line="259" w:lineRule="auto"/>
            </w:pPr>
            <w:r>
              <w:rPr>
                <w:rFonts w:ascii="Calibri" w:hAnsi="Calibri" w:eastAsia="Noto Sans CJK SC"/>
                <w:b w:val="0"/>
                <w:color w:val="172F3B"/>
                <w:sz w:val="16"/>
              </w:rPr>
              <w:t>27.483 ± 0.315</w:t>
            </w:r>
          </w:p>
        </w:tc>
        <w:tc>
          <w:tcPr>
            <w:tcW w:type="dxa" w:w="1531"/>
            <w:vAlign w:val="center"/>
            <w:shd w:fill="EEF4F7"/>
          </w:tcPr>
          <w:p>
            <w:pPr>
              <w:spacing w:after="60" w:before="60" w:line="259" w:lineRule="auto"/>
            </w:pPr>
            <w:r>
              <w:rPr>
                <w:rFonts w:ascii="Calibri" w:hAnsi="Calibri" w:eastAsia="Noto Sans CJK SC"/>
                <w:b w:val="0"/>
                <w:color w:val="172F3B"/>
                <w:sz w:val="16"/>
              </w:rPr>
              <w:t>272.834</w:t>
            </w:r>
          </w:p>
        </w:tc>
      </w:tr>
      <w:tr>
        <w:trPr>
          <w:cantSplit/>
        </w:trPr>
        <w:tc>
          <w:tcPr>
            <w:tcW w:type="dxa" w:w="2608"/>
            <w:vAlign w:val="center"/>
            <w:shd w:fill="FFFFFF"/>
          </w:tcPr>
          <w:p>
            <w:pPr>
              <w:spacing w:after="60" w:before="60" w:line="259" w:lineRule="auto"/>
            </w:pPr>
            <w:r>
              <w:rPr>
                <w:rFonts w:ascii="Calibri" w:hAnsi="Calibri" w:eastAsia="Noto Sans CJK SC"/>
                <w:b w:val="0"/>
                <w:color w:val="172F3B"/>
                <w:sz w:val="16"/>
              </w:rPr>
              <w:t>GateTS</w:t>
            </w:r>
          </w:p>
        </w:tc>
        <w:tc>
          <w:tcPr>
            <w:tcW w:type="dxa" w:w="907"/>
            <w:vAlign w:val="center"/>
            <w:shd w:fill="FFFFFF"/>
          </w:tcPr>
          <w:p>
            <w:pPr>
              <w:spacing w:after="60" w:before="60" w:line="259" w:lineRule="auto"/>
            </w:pPr>
            <w:r>
              <w:rPr>
                <w:rFonts w:ascii="Calibri" w:hAnsi="Calibri" w:eastAsia="Noto Sans CJK SC"/>
                <w:b w:val="0"/>
                <w:color w:val="172F3B"/>
                <w:sz w:val="16"/>
              </w:rPr>
              <w:t>Q/公共</w:t>
            </w:r>
          </w:p>
        </w:tc>
        <w:tc>
          <w:tcPr>
            <w:tcW w:type="dxa" w:w="1984"/>
            <w:vAlign w:val="center"/>
            <w:shd w:fill="FFFFFF"/>
          </w:tcPr>
          <w:p>
            <w:pPr>
              <w:spacing w:after="60" w:before="60" w:line="259" w:lineRule="auto"/>
            </w:pPr>
            <w:r>
              <w:rPr>
                <w:rFonts w:ascii="Calibri" w:hAnsi="Calibri" w:eastAsia="Noto Sans CJK SC"/>
                <w:b w:val="0"/>
                <w:color w:val="172F3B"/>
                <w:sz w:val="16"/>
              </w:rPr>
              <w:t>46.096 ± 0.326</w:t>
            </w:r>
          </w:p>
        </w:tc>
        <w:tc>
          <w:tcPr>
            <w:tcW w:type="dxa" w:w="1984"/>
            <w:vAlign w:val="center"/>
            <w:shd w:fill="FFFFFF"/>
          </w:tcPr>
          <w:p>
            <w:pPr>
              <w:spacing w:after="60" w:before="60" w:line="259" w:lineRule="auto"/>
            </w:pPr>
            <w:r>
              <w:rPr>
                <w:rFonts w:ascii="Calibri" w:hAnsi="Calibri" w:eastAsia="Noto Sans CJK SC"/>
                <w:b w:val="0"/>
                <w:color w:val="172F3B"/>
                <w:sz w:val="16"/>
              </w:rPr>
              <w:t>27.842 ± 0.191</w:t>
            </w:r>
          </w:p>
        </w:tc>
        <w:tc>
          <w:tcPr>
            <w:tcW w:type="dxa" w:w="1531"/>
            <w:vAlign w:val="center"/>
            <w:shd w:fill="FFFFFF"/>
          </w:tcPr>
          <w:p>
            <w:pPr>
              <w:spacing w:after="60" w:before="60" w:line="259" w:lineRule="auto"/>
            </w:pPr>
            <w:r>
              <w:rPr>
                <w:rFonts w:ascii="Calibri" w:hAnsi="Calibri" w:eastAsia="Noto Sans CJK SC"/>
                <w:b w:val="0"/>
                <w:color w:val="172F3B"/>
                <w:sz w:val="16"/>
              </w:rPr>
              <w:t>273.100</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TimeXer</w:t>
            </w:r>
          </w:p>
        </w:tc>
        <w:tc>
          <w:tcPr>
            <w:tcW w:type="dxa" w:w="907"/>
            <w:vAlign w:val="center"/>
            <w:shd w:fill="EEF4F7"/>
          </w:tcPr>
          <w:p>
            <w:pPr>
              <w:spacing w:after="60" w:before="60" w:line="259" w:lineRule="auto"/>
            </w:pPr>
            <w:r>
              <w:rPr>
                <w:rFonts w:ascii="Calibri" w:hAnsi="Calibri" w:eastAsia="Noto Sans CJK SC"/>
                <w:b w:val="0"/>
                <w:color w:val="172F3B"/>
                <w:sz w:val="16"/>
              </w:rPr>
              <w:t>Q/公共</w:t>
            </w:r>
          </w:p>
        </w:tc>
        <w:tc>
          <w:tcPr>
            <w:tcW w:type="dxa" w:w="1984"/>
            <w:vAlign w:val="center"/>
            <w:shd w:fill="EEF4F7"/>
          </w:tcPr>
          <w:p>
            <w:pPr>
              <w:spacing w:after="60" w:before="60" w:line="259" w:lineRule="auto"/>
            </w:pPr>
            <w:r>
              <w:rPr>
                <w:rFonts w:ascii="Calibri" w:hAnsi="Calibri" w:eastAsia="Noto Sans CJK SC"/>
                <w:b w:val="0"/>
                <w:color w:val="172F3B"/>
                <w:sz w:val="16"/>
              </w:rPr>
              <w:t>46.624 ± 0.470</w:t>
            </w:r>
          </w:p>
        </w:tc>
        <w:tc>
          <w:tcPr>
            <w:tcW w:type="dxa" w:w="1984"/>
            <w:vAlign w:val="center"/>
            <w:shd w:fill="EEF4F7"/>
          </w:tcPr>
          <w:p>
            <w:pPr>
              <w:spacing w:after="60" w:before="60" w:line="259" w:lineRule="auto"/>
            </w:pPr>
            <w:r>
              <w:rPr>
                <w:rFonts w:ascii="Calibri" w:hAnsi="Calibri" w:eastAsia="Noto Sans CJK SC"/>
                <w:b w:val="0"/>
                <w:color w:val="172F3B"/>
                <w:sz w:val="16"/>
              </w:rPr>
              <w:t>30.014 ± 0.415</w:t>
            </w:r>
          </w:p>
        </w:tc>
        <w:tc>
          <w:tcPr>
            <w:tcW w:type="dxa" w:w="1531"/>
            <w:vAlign w:val="center"/>
            <w:shd w:fill="EEF4F7"/>
          </w:tcPr>
          <w:p>
            <w:pPr>
              <w:spacing w:after="60" w:before="60" w:line="259" w:lineRule="auto"/>
            </w:pPr>
            <w:r>
              <w:rPr>
                <w:rFonts w:ascii="Calibri" w:hAnsi="Calibri" w:eastAsia="Noto Sans CJK SC"/>
                <w:b w:val="0"/>
                <w:color w:val="172F3B"/>
                <w:sz w:val="16"/>
              </w:rPr>
              <w:t>279.118</w:t>
            </w:r>
          </w:p>
        </w:tc>
      </w:tr>
      <w:tr>
        <w:trPr>
          <w:cantSplit/>
        </w:trPr>
        <w:tc>
          <w:tcPr>
            <w:tcW w:type="dxa" w:w="2608"/>
            <w:vAlign w:val="center"/>
            <w:shd w:fill="FFFFFF"/>
          </w:tcPr>
          <w:p>
            <w:pPr>
              <w:spacing w:after="60" w:before="60" w:line="259" w:lineRule="auto"/>
            </w:pPr>
            <w:r>
              <w:rPr>
                <w:rFonts w:ascii="Calibri" w:hAnsi="Calibri" w:eastAsia="Noto Sans CJK SC"/>
                <w:b w:val="0"/>
                <w:color w:val="172F3B"/>
                <w:sz w:val="16"/>
              </w:rPr>
              <w:t>Linear</w:t>
            </w:r>
          </w:p>
        </w:tc>
        <w:tc>
          <w:tcPr>
            <w:tcW w:type="dxa" w:w="907"/>
            <w:vAlign w:val="center"/>
            <w:shd w:fill="FFFFFF"/>
          </w:tcPr>
          <w:p>
            <w:pPr>
              <w:spacing w:after="60" w:before="60" w:line="259" w:lineRule="auto"/>
            </w:pPr>
            <w:r>
              <w:rPr>
                <w:rFonts w:ascii="Calibri" w:hAnsi="Calibri" w:eastAsia="Noto Sans CJK SC"/>
                <w:b w:val="0"/>
                <w:color w:val="172F3B"/>
                <w:sz w:val="16"/>
              </w:rPr>
              <w:t>Q/公共</w:t>
            </w:r>
          </w:p>
        </w:tc>
        <w:tc>
          <w:tcPr>
            <w:tcW w:type="dxa" w:w="1984"/>
            <w:vAlign w:val="center"/>
            <w:shd w:fill="FFFFFF"/>
          </w:tcPr>
          <w:p>
            <w:pPr>
              <w:spacing w:after="60" w:before="60" w:line="259" w:lineRule="auto"/>
            </w:pPr>
            <w:r>
              <w:rPr>
                <w:rFonts w:ascii="Calibri" w:hAnsi="Calibri" w:eastAsia="Noto Sans CJK SC"/>
                <w:b w:val="0"/>
                <w:color w:val="172F3B"/>
                <w:sz w:val="16"/>
              </w:rPr>
              <w:t>46.823 ± 0.310</w:t>
            </w:r>
          </w:p>
        </w:tc>
        <w:tc>
          <w:tcPr>
            <w:tcW w:type="dxa" w:w="1984"/>
            <w:vAlign w:val="center"/>
            <w:shd w:fill="FFFFFF"/>
          </w:tcPr>
          <w:p>
            <w:pPr>
              <w:spacing w:after="60" w:before="60" w:line="259" w:lineRule="auto"/>
            </w:pPr>
            <w:r>
              <w:rPr>
                <w:rFonts w:ascii="Calibri" w:hAnsi="Calibri" w:eastAsia="Noto Sans CJK SC"/>
                <w:b w:val="0"/>
                <w:color w:val="172F3B"/>
                <w:sz w:val="16"/>
              </w:rPr>
              <w:t>28.090 ± 0.269</w:t>
            </w:r>
          </w:p>
        </w:tc>
        <w:tc>
          <w:tcPr>
            <w:tcW w:type="dxa" w:w="1531"/>
            <w:vAlign w:val="center"/>
            <w:shd w:fill="FFFFFF"/>
          </w:tcPr>
          <w:p>
            <w:pPr>
              <w:spacing w:after="60" w:before="60" w:line="259" w:lineRule="auto"/>
            </w:pPr>
            <w:r>
              <w:rPr>
                <w:rFonts w:ascii="Calibri" w:hAnsi="Calibri" w:eastAsia="Noto Sans CJK SC"/>
                <w:b w:val="0"/>
                <w:color w:val="172F3B"/>
                <w:sz w:val="16"/>
              </w:rPr>
              <w:t>272.453</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DLinear</w:t>
            </w:r>
          </w:p>
        </w:tc>
        <w:tc>
          <w:tcPr>
            <w:tcW w:type="dxa" w:w="907"/>
            <w:vAlign w:val="center"/>
            <w:shd w:fill="EEF4F7"/>
          </w:tcPr>
          <w:p>
            <w:pPr>
              <w:spacing w:after="60" w:before="60" w:line="259" w:lineRule="auto"/>
            </w:pPr>
            <w:r>
              <w:rPr>
                <w:rFonts w:ascii="Calibri" w:hAnsi="Calibri" w:eastAsia="Noto Sans CJK SC"/>
                <w:b w:val="0"/>
                <w:color w:val="172F3B"/>
                <w:sz w:val="16"/>
              </w:rPr>
              <w:t>Q/公共</w:t>
            </w:r>
          </w:p>
        </w:tc>
        <w:tc>
          <w:tcPr>
            <w:tcW w:type="dxa" w:w="1984"/>
            <w:vAlign w:val="center"/>
            <w:shd w:fill="EEF4F7"/>
          </w:tcPr>
          <w:p>
            <w:pPr>
              <w:spacing w:after="60" w:before="60" w:line="259" w:lineRule="auto"/>
            </w:pPr>
            <w:r>
              <w:rPr>
                <w:rFonts w:ascii="Calibri" w:hAnsi="Calibri" w:eastAsia="Noto Sans CJK SC"/>
                <w:b w:val="0"/>
                <w:color w:val="172F3B"/>
                <w:sz w:val="16"/>
              </w:rPr>
              <w:t>46.898 ± 0.397</w:t>
            </w:r>
          </w:p>
        </w:tc>
        <w:tc>
          <w:tcPr>
            <w:tcW w:type="dxa" w:w="1984"/>
            <w:vAlign w:val="center"/>
            <w:shd w:fill="EEF4F7"/>
          </w:tcPr>
          <w:p>
            <w:pPr>
              <w:spacing w:after="60" w:before="60" w:line="259" w:lineRule="auto"/>
            </w:pPr>
            <w:r>
              <w:rPr>
                <w:rFonts w:ascii="Calibri" w:hAnsi="Calibri" w:eastAsia="Noto Sans CJK SC"/>
                <w:b w:val="0"/>
                <w:color w:val="172F3B"/>
                <w:sz w:val="16"/>
              </w:rPr>
              <w:t>28.045 ± 0.199</w:t>
            </w:r>
          </w:p>
        </w:tc>
        <w:tc>
          <w:tcPr>
            <w:tcW w:type="dxa" w:w="1531"/>
            <w:vAlign w:val="center"/>
            <w:shd w:fill="EEF4F7"/>
          </w:tcPr>
          <w:p>
            <w:pPr>
              <w:spacing w:after="60" w:before="60" w:line="259" w:lineRule="auto"/>
            </w:pPr>
            <w:r>
              <w:rPr>
                <w:rFonts w:ascii="Calibri" w:hAnsi="Calibri" w:eastAsia="Noto Sans CJK SC"/>
                <w:b w:val="0"/>
                <w:color w:val="172F3B"/>
                <w:sz w:val="16"/>
              </w:rPr>
              <w:t>272.209</w:t>
            </w:r>
          </w:p>
        </w:tc>
      </w:tr>
      <w:tr>
        <w:trPr>
          <w:cantSplit/>
        </w:trPr>
        <w:tc>
          <w:tcPr>
            <w:tcW w:type="dxa" w:w="2608"/>
            <w:vAlign w:val="center"/>
            <w:shd w:fill="FFFFFF"/>
          </w:tcPr>
          <w:p>
            <w:pPr>
              <w:spacing w:after="60" w:before="60" w:line="259" w:lineRule="auto"/>
            </w:pPr>
            <w:r>
              <w:rPr>
                <w:rFonts w:ascii="Calibri" w:hAnsi="Calibri" w:eastAsia="Noto Sans CJK SC"/>
                <w:b w:val="0"/>
                <w:color w:val="172F3B"/>
                <w:sz w:val="16"/>
              </w:rPr>
              <w:t>MLP</w:t>
            </w:r>
          </w:p>
        </w:tc>
        <w:tc>
          <w:tcPr>
            <w:tcW w:type="dxa" w:w="907"/>
            <w:vAlign w:val="center"/>
            <w:shd w:fill="FFFFFF"/>
          </w:tcPr>
          <w:p>
            <w:pPr>
              <w:spacing w:after="60" w:before="60" w:line="259" w:lineRule="auto"/>
            </w:pPr>
            <w:r>
              <w:rPr>
                <w:rFonts w:ascii="Calibri" w:hAnsi="Calibri" w:eastAsia="Noto Sans CJK SC"/>
                <w:b w:val="0"/>
                <w:color w:val="172F3B"/>
                <w:sz w:val="16"/>
              </w:rPr>
              <w:t>Q/公共</w:t>
            </w:r>
          </w:p>
        </w:tc>
        <w:tc>
          <w:tcPr>
            <w:tcW w:type="dxa" w:w="1984"/>
            <w:vAlign w:val="center"/>
            <w:shd w:fill="FFFFFF"/>
          </w:tcPr>
          <w:p>
            <w:pPr>
              <w:spacing w:after="60" w:before="60" w:line="259" w:lineRule="auto"/>
            </w:pPr>
            <w:r>
              <w:rPr>
                <w:rFonts w:ascii="Calibri" w:hAnsi="Calibri" w:eastAsia="Noto Sans CJK SC"/>
                <w:b w:val="0"/>
                <w:color w:val="172F3B"/>
                <w:sz w:val="16"/>
              </w:rPr>
              <w:t>47.705 ± 1.484</w:t>
            </w:r>
          </w:p>
        </w:tc>
        <w:tc>
          <w:tcPr>
            <w:tcW w:type="dxa" w:w="1984"/>
            <w:vAlign w:val="center"/>
            <w:shd w:fill="FFFFFF"/>
          </w:tcPr>
          <w:p>
            <w:pPr>
              <w:spacing w:after="60" w:before="60" w:line="259" w:lineRule="auto"/>
            </w:pPr>
            <w:r>
              <w:rPr>
                <w:rFonts w:ascii="Calibri" w:hAnsi="Calibri" w:eastAsia="Noto Sans CJK SC"/>
                <w:b w:val="0"/>
                <w:color w:val="172F3B"/>
                <w:sz w:val="16"/>
              </w:rPr>
              <w:t>28.884 ± 0.719</w:t>
            </w:r>
          </w:p>
        </w:tc>
        <w:tc>
          <w:tcPr>
            <w:tcW w:type="dxa" w:w="1531"/>
            <w:vAlign w:val="center"/>
            <w:shd w:fill="FFFFFF"/>
          </w:tcPr>
          <w:p>
            <w:pPr>
              <w:spacing w:after="60" w:before="60" w:line="259" w:lineRule="auto"/>
            </w:pPr>
            <w:r>
              <w:rPr>
                <w:rFonts w:ascii="Calibri" w:hAnsi="Calibri" w:eastAsia="Noto Sans CJK SC"/>
                <w:b w:val="0"/>
                <w:color w:val="172F3B"/>
                <w:sz w:val="16"/>
              </w:rPr>
              <w:t>276.738</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Chronos-2</w:t>
            </w:r>
          </w:p>
        </w:tc>
        <w:tc>
          <w:tcPr>
            <w:tcW w:type="dxa" w:w="907"/>
            <w:vAlign w:val="center"/>
            <w:shd w:fill="EEF4F7"/>
          </w:tcPr>
          <w:p>
            <w:pPr>
              <w:spacing w:after="60" w:before="60" w:line="259" w:lineRule="auto"/>
            </w:pPr>
            <w:r>
              <w:rPr>
                <w:rFonts w:ascii="Calibri" w:hAnsi="Calibri" w:eastAsia="Noto Sans CJK SC"/>
                <w:b w:val="0"/>
                <w:color w:val="172F3B"/>
                <w:sz w:val="16"/>
              </w:rPr>
              <w:t>Q/受限</w:t>
            </w:r>
          </w:p>
        </w:tc>
        <w:tc>
          <w:tcPr>
            <w:tcW w:type="dxa" w:w="1984"/>
            <w:vAlign w:val="center"/>
            <w:shd w:fill="EEF4F7"/>
          </w:tcPr>
          <w:p>
            <w:pPr>
              <w:spacing w:after="60" w:before="60" w:line="259" w:lineRule="auto"/>
            </w:pPr>
            <w:r>
              <w:rPr>
                <w:rFonts w:ascii="Calibri" w:hAnsi="Calibri" w:eastAsia="Noto Sans CJK SC"/>
                <w:b w:val="0"/>
                <w:color w:val="172F3B"/>
                <w:sz w:val="16"/>
              </w:rPr>
              <w:t>48.527 ± 0.000</w:t>
            </w:r>
          </w:p>
        </w:tc>
        <w:tc>
          <w:tcPr>
            <w:tcW w:type="dxa" w:w="1984"/>
            <w:vAlign w:val="center"/>
            <w:shd w:fill="EEF4F7"/>
          </w:tcPr>
          <w:p>
            <w:pPr>
              <w:spacing w:after="60" w:before="60" w:line="259" w:lineRule="auto"/>
            </w:pPr>
            <w:r>
              <w:rPr>
                <w:rFonts w:ascii="Calibri" w:hAnsi="Calibri" w:eastAsia="Noto Sans CJK SC"/>
                <w:b w:val="0"/>
                <w:color w:val="172F3B"/>
                <w:sz w:val="16"/>
              </w:rPr>
              <w:t>32.495 ± 0.000</w:t>
            </w:r>
          </w:p>
        </w:tc>
        <w:tc>
          <w:tcPr>
            <w:tcW w:type="dxa" w:w="1531"/>
            <w:vAlign w:val="center"/>
            <w:shd w:fill="EEF4F7"/>
          </w:tcPr>
          <w:p>
            <w:pPr>
              <w:spacing w:after="60" w:before="60" w:line="259" w:lineRule="auto"/>
            </w:pPr>
            <w:r>
              <w:rPr>
                <w:rFonts w:ascii="Calibri" w:hAnsi="Calibri" w:eastAsia="Noto Sans CJK SC"/>
                <w:b w:val="0"/>
                <w:color w:val="172F3B"/>
                <w:sz w:val="16"/>
              </w:rPr>
              <w:t>352.033</w:t>
            </w:r>
          </w:p>
        </w:tc>
      </w:tr>
      <w:tr>
        <w:trPr>
          <w:cantSplit/>
        </w:trPr>
        <w:tc>
          <w:tcPr>
            <w:tcW w:type="dxa" w:w="2608"/>
            <w:vAlign w:val="center"/>
            <w:shd w:fill="FFFFFF"/>
          </w:tcPr>
          <w:p>
            <w:pPr>
              <w:spacing w:after="60" w:before="60" w:line="259" w:lineRule="auto"/>
            </w:pPr>
            <w:r>
              <w:rPr>
                <w:rFonts w:ascii="Calibri" w:hAnsi="Calibri" w:eastAsia="Noto Sans CJK SC"/>
                <w:b w:val="0"/>
                <w:color w:val="172F3B"/>
                <w:sz w:val="16"/>
              </w:rPr>
              <w:t>PriceFM（本地移植）</w:t>
            </w:r>
          </w:p>
        </w:tc>
        <w:tc>
          <w:tcPr>
            <w:tcW w:type="dxa" w:w="907"/>
            <w:vAlign w:val="center"/>
            <w:shd w:fill="FFFFFF"/>
          </w:tcPr>
          <w:p>
            <w:pPr>
              <w:spacing w:after="60" w:before="60" w:line="259" w:lineRule="auto"/>
            </w:pPr>
            <w:r>
              <w:rPr>
                <w:rFonts w:ascii="Calibri" w:hAnsi="Calibri" w:eastAsia="Noto Sans CJK SC"/>
                <w:b w:val="0"/>
                <w:color w:val="172F3B"/>
                <w:sz w:val="16"/>
              </w:rPr>
              <w:t>Q/公共</w:t>
            </w:r>
          </w:p>
        </w:tc>
        <w:tc>
          <w:tcPr>
            <w:tcW w:type="dxa" w:w="1984"/>
            <w:vAlign w:val="center"/>
            <w:shd w:fill="FFFFFF"/>
          </w:tcPr>
          <w:p>
            <w:pPr>
              <w:spacing w:after="60" w:before="60" w:line="259" w:lineRule="auto"/>
            </w:pPr>
            <w:r>
              <w:rPr>
                <w:rFonts w:ascii="Calibri" w:hAnsi="Calibri" w:eastAsia="Noto Sans CJK SC"/>
                <w:b w:val="0"/>
                <w:color w:val="172F3B"/>
                <w:sz w:val="16"/>
              </w:rPr>
              <w:t>51.162 ± 0.122</w:t>
            </w:r>
          </w:p>
        </w:tc>
        <w:tc>
          <w:tcPr>
            <w:tcW w:type="dxa" w:w="1984"/>
            <w:vAlign w:val="center"/>
            <w:shd w:fill="FFFFFF"/>
          </w:tcPr>
          <w:p>
            <w:pPr>
              <w:spacing w:after="60" w:before="60" w:line="259" w:lineRule="auto"/>
            </w:pPr>
            <w:r>
              <w:rPr>
                <w:rFonts w:ascii="Calibri" w:hAnsi="Calibri" w:eastAsia="Noto Sans CJK SC"/>
                <w:b w:val="0"/>
                <w:color w:val="172F3B"/>
                <w:sz w:val="16"/>
              </w:rPr>
              <w:t>30.939 ± 0.549</w:t>
            </w:r>
          </w:p>
        </w:tc>
        <w:tc>
          <w:tcPr>
            <w:tcW w:type="dxa" w:w="1531"/>
            <w:vAlign w:val="center"/>
            <w:shd w:fill="FFFFFF"/>
          </w:tcPr>
          <w:p>
            <w:pPr>
              <w:spacing w:after="60" w:before="60" w:line="259" w:lineRule="auto"/>
            </w:pPr>
            <w:r>
              <w:rPr>
                <w:rFonts w:ascii="Calibri" w:hAnsi="Calibri" w:eastAsia="Noto Sans CJK SC"/>
                <w:b w:val="0"/>
                <w:color w:val="172F3B"/>
                <w:sz w:val="16"/>
              </w:rPr>
              <w:t>278.100</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Moirai-2</w:t>
            </w:r>
          </w:p>
        </w:tc>
        <w:tc>
          <w:tcPr>
            <w:tcW w:type="dxa" w:w="907"/>
            <w:vAlign w:val="center"/>
            <w:shd w:fill="EEF4F7"/>
          </w:tcPr>
          <w:p>
            <w:pPr>
              <w:spacing w:after="60" w:before="60" w:line="259" w:lineRule="auto"/>
            </w:pPr>
            <w:r>
              <w:rPr>
                <w:rFonts w:ascii="Calibri" w:hAnsi="Calibri" w:eastAsia="Noto Sans CJK SC"/>
                <w:b w:val="0"/>
                <w:color w:val="172F3B"/>
                <w:sz w:val="16"/>
              </w:rPr>
              <w:t>P/受限</w:t>
            </w:r>
          </w:p>
        </w:tc>
        <w:tc>
          <w:tcPr>
            <w:tcW w:type="dxa" w:w="1984"/>
            <w:vAlign w:val="center"/>
            <w:shd w:fill="EEF4F7"/>
          </w:tcPr>
          <w:p>
            <w:pPr>
              <w:spacing w:after="60" w:before="60" w:line="259" w:lineRule="auto"/>
            </w:pPr>
            <w:r>
              <w:rPr>
                <w:rFonts w:ascii="Calibri" w:hAnsi="Calibri" w:eastAsia="Noto Sans CJK SC"/>
                <w:b w:val="0"/>
                <w:color w:val="172F3B"/>
                <w:sz w:val="16"/>
              </w:rPr>
              <w:t>55.754 ± 0.000</w:t>
            </w:r>
          </w:p>
        </w:tc>
        <w:tc>
          <w:tcPr>
            <w:tcW w:type="dxa" w:w="1984"/>
            <w:vAlign w:val="center"/>
            <w:shd w:fill="EEF4F7"/>
          </w:tcPr>
          <w:p>
            <w:pPr>
              <w:spacing w:after="60" w:before="60" w:line="259" w:lineRule="auto"/>
            </w:pPr>
            <w:r>
              <w:rPr>
                <w:rFonts w:ascii="Calibri" w:hAnsi="Calibri" w:eastAsia="Noto Sans CJK SC"/>
                <w:b w:val="0"/>
                <w:color w:val="172F3B"/>
                <w:sz w:val="16"/>
              </w:rPr>
              <w:t>—</w:t>
            </w:r>
          </w:p>
        </w:tc>
        <w:tc>
          <w:tcPr>
            <w:tcW w:type="dxa" w:w="1531"/>
            <w:vAlign w:val="center"/>
            <w:shd w:fill="EEF4F7"/>
          </w:tcPr>
          <w:p>
            <w:pPr>
              <w:spacing w:after="60" w:before="60" w:line="259" w:lineRule="auto"/>
            </w:pPr>
            <w:r>
              <w:rPr>
                <w:rFonts w:ascii="Calibri" w:hAnsi="Calibri" w:eastAsia="Noto Sans CJK SC"/>
                <w:b w:val="0"/>
                <w:color w:val="172F3B"/>
                <w:sz w:val="16"/>
              </w:rPr>
              <w:t>291.784</w:t>
            </w:r>
          </w:p>
        </w:tc>
      </w:tr>
      <w:tr>
        <w:trPr>
          <w:cantSplit/>
        </w:trPr>
        <w:tc>
          <w:tcPr>
            <w:tcW w:type="dxa" w:w="2608"/>
            <w:vAlign w:val="center"/>
            <w:shd w:fill="FFFFFF"/>
          </w:tcPr>
          <w:p>
            <w:pPr>
              <w:spacing w:after="60" w:before="60" w:line="259" w:lineRule="auto"/>
            </w:pPr>
            <w:r>
              <w:rPr>
                <w:rFonts w:ascii="Calibri" w:hAnsi="Calibri" w:eastAsia="Noto Sans CJK SC"/>
                <w:b w:val="0"/>
                <w:color w:val="172F3B"/>
                <w:sz w:val="16"/>
              </w:rPr>
              <w:t>DDNN-JSU</w:t>
            </w:r>
          </w:p>
        </w:tc>
        <w:tc>
          <w:tcPr>
            <w:tcW w:type="dxa" w:w="907"/>
            <w:vAlign w:val="center"/>
            <w:shd w:fill="FFFFFF"/>
          </w:tcPr>
          <w:p>
            <w:pPr>
              <w:spacing w:after="60" w:before="60" w:line="259" w:lineRule="auto"/>
            </w:pPr>
            <w:r>
              <w:rPr>
                <w:rFonts w:ascii="Calibri" w:hAnsi="Calibri" w:eastAsia="Noto Sans CJK SC"/>
                <w:b w:val="0"/>
                <w:color w:val="172F3B"/>
                <w:sz w:val="16"/>
              </w:rPr>
              <w:t>Q/公共</w:t>
            </w:r>
          </w:p>
        </w:tc>
        <w:tc>
          <w:tcPr>
            <w:tcW w:type="dxa" w:w="1984"/>
            <w:vAlign w:val="center"/>
            <w:shd w:fill="FFFFFF"/>
          </w:tcPr>
          <w:p>
            <w:pPr>
              <w:spacing w:after="60" w:before="60" w:line="259" w:lineRule="auto"/>
            </w:pPr>
            <w:r>
              <w:rPr>
                <w:rFonts w:ascii="Calibri" w:hAnsi="Calibri" w:eastAsia="Noto Sans CJK SC"/>
                <w:b w:val="0"/>
                <w:color w:val="172F3B"/>
                <w:sz w:val="16"/>
              </w:rPr>
              <w:t>57.275 ± 0.951</w:t>
            </w:r>
          </w:p>
        </w:tc>
        <w:tc>
          <w:tcPr>
            <w:tcW w:type="dxa" w:w="1984"/>
            <w:vAlign w:val="center"/>
            <w:shd w:fill="FFFFFF"/>
          </w:tcPr>
          <w:p>
            <w:pPr>
              <w:spacing w:after="60" w:before="60" w:line="259" w:lineRule="auto"/>
            </w:pPr>
            <w:r>
              <w:rPr>
                <w:rFonts w:ascii="Calibri" w:hAnsi="Calibri" w:eastAsia="Noto Sans CJK SC"/>
                <w:b w:val="0"/>
                <w:color w:val="172F3B"/>
                <w:sz w:val="16"/>
              </w:rPr>
              <w:t>140.861 ± 90.757</w:t>
            </w:r>
          </w:p>
        </w:tc>
        <w:tc>
          <w:tcPr>
            <w:tcW w:type="dxa" w:w="1531"/>
            <w:vAlign w:val="center"/>
            <w:shd w:fill="FFFFFF"/>
          </w:tcPr>
          <w:p>
            <w:pPr>
              <w:spacing w:after="60" w:before="60" w:line="259" w:lineRule="auto"/>
            </w:pPr>
            <w:r>
              <w:rPr>
                <w:rFonts w:ascii="Calibri" w:hAnsi="Calibri" w:eastAsia="Noto Sans CJK SC"/>
                <w:b w:val="0"/>
                <w:color w:val="172F3B"/>
                <w:sz w:val="16"/>
              </w:rPr>
              <w:t>416.812</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Lasso-ARX72+CP</w:t>
            </w:r>
          </w:p>
        </w:tc>
        <w:tc>
          <w:tcPr>
            <w:tcW w:type="dxa" w:w="907"/>
            <w:vAlign w:val="center"/>
            <w:shd w:fill="EEF4F7"/>
          </w:tcPr>
          <w:p>
            <w:pPr>
              <w:spacing w:after="60" w:before="60" w:line="259" w:lineRule="auto"/>
            </w:pPr>
            <w:r>
              <w:rPr>
                <w:rFonts w:ascii="Calibri" w:hAnsi="Calibri" w:eastAsia="Noto Sans CJK SC"/>
                <w:b w:val="0"/>
                <w:color w:val="172F3B"/>
                <w:sz w:val="16"/>
              </w:rPr>
              <w:t>Q/公共</w:t>
            </w:r>
          </w:p>
        </w:tc>
        <w:tc>
          <w:tcPr>
            <w:tcW w:type="dxa" w:w="1984"/>
            <w:vAlign w:val="center"/>
            <w:shd w:fill="EEF4F7"/>
          </w:tcPr>
          <w:p>
            <w:pPr>
              <w:spacing w:after="60" w:before="60" w:line="259" w:lineRule="auto"/>
            </w:pPr>
            <w:r>
              <w:rPr>
                <w:rFonts w:ascii="Calibri" w:hAnsi="Calibri" w:eastAsia="Noto Sans CJK SC"/>
                <w:b w:val="0"/>
                <w:color w:val="172F3B"/>
                <w:sz w:val="16"/>
              </w:rPr>
              <w:t>59.051 ± 0.000</w:t>
            </w:r>
          </w:p>
        </w:tc>
        <w:tc>
          <w:tcPr>
            <w:tcW w:type="dxa" w:w="1984"/>
            <w:vAlign w:val="center"/>
            <w:shd w:fill="EEF4F7"/>
          </w:tcPr>
          <w:p>
            <w:pPr>
              <w:spacing w:after="60" w:before="60" w:line="259" w:lineRule="auto"/>
            </w:pPr>
            <w:r>
              <w:rPr>
                <w:rFonts w:ascii="Calibri" w:hAnsi="Calibri" w:eastAsia="Noto Sans CJK SC"/>
                <w:b w:val="0"/>
                <w:color w:val="172F3B"/>
                <w:sz w:val="16"/>
              </w:rPr>
              <w:t>42.702 ± 0.000</w:t>
            </w:r>
          </w:p>
        </w:tc>
        <w:tc>
          <w:tcPr>
            <w:tcW w:type="dxa" w:w="1531"/>
            <w:vAlign w:val="center"/>
            <w:shd w:fill="EEF4F7"/>
          </w:tcPr>
          <w:p>
            <w:pPr>
              <w:spacing w:after="60" w:before="60" w:line="259" w:lineRule="auto"/>
            </w:pPr>
            <w:r>
              <w:rPr>
                <w:rFonts w:ascii="Calibri" w:hAnsi="Calibri" w:eastAsia="Noto Sans CJK SC"/>
                <w:b w:val="0"/>
                <w:color w:val="172F3B"/>
                <w:sz w:val="16"/>
              </w:rPr>
              <w:t>288.006</w:t>
            </w:r>
          </w:p>
        </w:tc>
      </w:tr>
      <w:tr>
        <w:trPr>
          <w:cantSplit/>
        </w:trPr>
        <w:tc>
          <w:tcPr>
            <w:tcW w:type="dxa" w:w="2608"/>
            <w:vAlign w:val="center"/>
            <w:shd w:fill="FFFFFF"/>
          </w:tcPr>
          <w:p>
            <w:pPr>
              <w:spacing w:after="60" w:before="60" w:line="259" w:lineRule="auto"/>
            </w:pPr>
            <w:r>
              <w:rPr>
                <w:rFonts w:ascii="Calibri" w:hAnsi="Calibri" w:eastAsia="Noto Sans CJK SC"/>
                <w:b w:val="0"/>
                <w:color w:val="172F3B"/>
                <w:sz w:val="16"/>
              </w:rPr>
              <w:t>N-HiTS+QRA</w:t>
            </w:r>
          </w:p>
        </w:tc>
        <w:tc>
          <w:tcPr>
            <w:tcW w:type="dxa" w:w="907"/>
            <w:vAlign w:val="center"/>
            <w:shd w:fill="FFFFFF"/>
          </w:tcPr>
          <w:p>
            <w:pPr>
              <w:spacing w:after="60" w:before="60" w:line="259" w:lineRule="auto"/>
            </w:pPr>
            <w:r>
              <w:rPr>
                <w:rFonts w:ascii="Calibri" w:hAnsi="Calibri" w:eastAsia="Noto Sans CJK SC"/>
                <w:b w:val="0"/>
                <w:color w:val="172F3B"/>
                <w:sz w:val="16"/>
              </w:rPr>
              <w:t>Q/公共</w:t>
            </w:r>
          </w:p>
        </w:tc>
        <w:tc>
          <w:tcPr>
            <w:tcW w:type="dxa" w:w="1984"/>
            <w:vAlign w:val="center"/>
            <w:shd w:fill="FFFFFF"/>
          </w:tcPr>
          <w:p>
            <w:pPr>
              <w:spacing w:after="60" w:before="60" w:line="259" w:lineRule="auto"/>
            </w:pPr>
            <w:r>
              <w:rPr>
                <w:rFonts w:ascii="Calibri" w:hAnsi="Calibri" w:eastAsia="Noto Sans CJK SC"/>
                <w:b w:val="0"/>
                <w:color w:val="172F3B"/>
                <w:sz w:val="16"/>
              </w:rPr>
              <w:t>60.746 ± 0.607</w:t>
            </w:r>
          </w:p>
        </w:tc>
        <w:tc>
          <w:tcPr>
            <w:tcW w:type="dxa" w:w="1984"/>
            <w:vAlign w:val="center"/>
            <w:shd w:fill="FFFFFF"/>
          </w:tcPr>
          <w:p>
            <w:pPr>
              <w:spacing w:after="60" w:before="60" w:line="259" w:lineRule="auto"/>
            </w:pPr>
            <w:r>
              <w:rPr>
                <w:rFonts w:ascii="Calibri" w:hAnsi="Calibri" w:eastAsia="Noto Sans CJK SC"/>
                <w:b w:val="0"/>
                <w:color w:val="172F3B"/>
                <w:sz w:val="16"/>
              </w:rPr>
              <w:t>36.498 ± 0.226</w:t>
            </w:r>
          </w:p>
        </w:tc>
        <w:tc>
          <w:tcPr>
            <w:tcW w:type="dxa" w:w="1531"/>
            <w:vAlign w:val="center"/>
            <w:shd w:fill="FFFFFF"/>
          </w:tcPr>
          <w:p>
            <w:pPr>
              <w:spacing w:after="60" w:before="60" w:line="259" w:lineRule="auto"/>
            </w:pPr>
            <w:r>
              <w:rPr>
                <w:rFonts w:ascii="Calibri" w:hAnsi="Calibri" w:eastAsia="Noto Sans CJK SC"/>
                <w:b w:val="0"/>
                <w:color w:val="172F3B"/>
                <w:sz w:val="16"/>
              </w:rPr>
              <w:t>302.593</w:t>
            </w:r>
          </w:p>
        </w:tc>
      </w:tr>
      <w:tr>
        <w:trPr>
          <w:cantSplit/>
        </w:trPr>
        <w:tc>
          <w:tcPr>
            <w:tcW w:type="dxa" w:w="2608"/>
            <w:vAlign w:val="center"/>
            <w:shd w:fill="EEF4F7"/>
          </w:tcPr>
          <w:p>
            <w:pPr>
              <w:spacing w:after="60" w:before="60" w:line="259" w:lineRule="auto"/>
            </w:pPr>
            <w:r>
              <w:rPr>
                <w:rFonts w:ascii="Calibri" w:hAnsi="Calibri" w:eastAsia="Noto Sans CJK SC"/>
                <w:b w:val="0"/>
                <w:color w:val="172F3B"/>
                <w:sz w:val="16"/>
              </w:rPr>
              <w:t>TimesFM-2.5+XReg</w:t>
            </w:r>
          </w:p>
        </w:tc>
        <w:tc>
          <w:tcPr>
            <w:tcW w:type="dxa" w:w="907"/>
            <w:vAlign w:val="center"/>
            <w:shd w:fill="EEF4F7"/>
          </w:tcPr>
          <w:p>
            <w:pPr>
              <w:spacing w:after="60" w:before="60" w:line="259" w:lineRule="auto"/>
            </w:pPr>
            <w:r>
              <w:rPr>
                <w:rFonts w:ascii="Calibri" w:hAnsi="Calibri" w:eastAsia="Noto Sans CJK SC"/>
                <w:b w:val="0"/>
                <w:color w:val="172F3B"/>
                <w:sz w:val="16"/>
              </w:rPr>
              <w:t>P/受限</w:t>
            </w:r>
          </w:p>
        </w:tc>
        <w:tc>
          <w:tcPr>
            <w:tcW w:type="dxa" w:w="1984"/>
            <w:vAlign w:val="center"/>
            <w:shd w:fill="EEF4F7"/>
          </w:tcPr>
          <w:p>
            <w:pPr>
              <w:spacing w:after="60" w:before="60" w:line="259" w:lineRule="auto"/>
            </w:pPr>
            <w:r>
              <w:rPr>
                <w:rFonts w:ascii="Calibri" w:hAnsi="Calibri" w:eastAsia="Noto Sans CJK SC"/>
                <w:b w:val="0"/>
                <w:color w:val="172F3B"/>
                <w:sz w:val="16"/>
              </w:rPr>
              <w:t>78.266 ± 0.000</w:t>
            </w:r>
          </w:p>
        </w:tc>
        <w:tc>
          <w:tcPr>
            <w:tcW w:type="dxa" w:w="1984"/>
            <w:vAlign w:val="center"/>
            <w:shd w:fill="EEF4F7"/>
          </w:tcPr>
          <w:p>
            <w:pPr>
              <w:spacing w:after="60" w:before="60" w:line="259" w:lineRule="auto"/>
            </w:pPr>
            <w:r>
              <w:rPr>
                <w:rFonts w:ascii="Calibri" w:hAnsi="Calibri" w:eastAsia="Noto Sans CJK SC"/>
                <w:b w:val="0"/>
                <w:color w:val="172F3B"/>
                <w:sz w:val="16"/>
              </w:rPr>
              <w:t>—</w:t>
            </w:r>
          </w:p>
        </w:tc>
        <w:tc>
          <w:tcPr>
            <w:tcW w:type="dxa" w:w="1531"/>
            <w:vAlign w:val="center"/>
            <w:shd w:fill="EEF4F7"/>
          </w:tcPr>
          <w:p>
            <w:pPr>
              <w:spacing w:after="60" w:before="60" w:line="259" w:lineRule="auto"/>
            </w:pPr>
            <w:r>
              <w:rPr>
                <w:rFonts w:ascii="Calibri" w:hAnsi="Calibri" w:eastAsia="Noto Sans CJK SC"/>
                <w:b w:val="0"/>
                <w:color w:val="172F3B"/>
                <w:sz w:val="16"/>
              </w:rPr>
              <w:t>351.874</w:t>
            </w:r>
          </w:p>
        </w:tc>
      </w:tr>
    </w:tbl>
    <w:p>
      <w:pPr>
        <w:spacing w:after="0"/>
      </w:pPr>
    </w:p>
    <w:p>
      <w:pPr>
        <w:pStyle w:val="Caption"/>
      </w:pPr>
      <w:r>
        <w:t>表1　全量主表。原始来源：main_comparison_20261023/main.csv，最新维护至2026-10-24。B_retrained是同一固定树的重复参照；基础模型的0标准差可能来自确定性重复，不能据此推断统计稳定性优于随机训练模型。CP的点预测未改动，因此其MAE与对应树基线相同。</w:t>
      </w:r>
    </w:p>
    <w:p>
      <w:pPr>
        <w:keepNext/>
      </w:pPr>
      <w:r>
        <w:drawing>
          <wp:inline xmlns:a="http://schemas.openxmlformats.org/drawingml/2006/main" xmlns:pic="http://schemas.openxmlformats.org/drawingml/2006/picture">
            <wp:extent cx="5976000" cy="4780800"/>
            <wp:docPr id="2" name="Picture 2"/>
            <wp:cNvGraphicFramePr>
              <a:graphicFrameLocks noChangeAspect="1"/>
            </wp:cNvGraphicFramePr>
            <a:graphic>
              <a:graphicData uri="http://schemas.openxmlformats.org/drawingml/2006/picture">
                <pic:pic>
                  <pic:nvPicPr>
                    <pic:cNvPr id="0" name="comparison_mae.png"/>
                    <pic:cNvPicPr/>
                  </pic:nvPicPr>
                  <pic:blipFill>
                    <a:blip r:embed="rId12"/>
                    <a:stretch>
                      <a:fillRect/>
                    </a:stretch>
                  </pic:blipFill>
                  <pic:spPr>
                    <a:xfrm>
                      <a:off x="0" y="0"/>
                      <a:ext cx="5976000" cy="4780800"/>
                    </a:xfrm>
                    <a:prstGeom prst="rect"/>
                  </pic:spPr>
                </pic:pic>
              </a:graphicData>
            </a:graphic>
          </wp:inline>
        </w:drawing>
      </w:r>
    </w:p>
    <w:p>
      <w:pPr>
        <w:pStyle w:val="Caption"/>
      </w:pPr>
      <w:r>
        <w:t>图2　19个基线与当前Full_joint的总体MAE。颜色突出LightGBM与本研究方法；输入能力差异见表1，图中排序不构成公平HPO后的算法优劣结论。</w:t>
      </w:r>
    </w:p>
    <w:p>
      <w:pPr>
        <w:pStyle w:val="Heading2"/>
      </w:pPr>
      <w:r>
        <w:t>5.1 总体结果能够支持什么</w:t>
      </w:r>
    </w:p>
    <w:p>
      <w:r>
        <w:t>LightGBM是当前19个外部基线中总体MAE与QS最强的参照。Full_joint较LightGBM的MAE增加0.681（约1.84%），QS增加0.201（约0.83%），地区平均RMSE降低1.667（约0.60%）。相对XGBoost，Full_joint的MAE减少0.147（约0.39%）、QS减少1.230（约4.80%）；因此它已接近强树基线，但尚未超过最强参照。</w:t>
      </w:r>
    </w:p>
    <w:p>
      <w:r>
        <w:t>在当前预算下，复杂时序网络或基础模型没有自动取得更好的总体结果。该发现仅适用于本数据、固定配置和适配范围：例如PriceFM采用本地移植而非其原论文完整预训练流程，三种时序基础模型的输入受限，不能将主表排名概括成“基础模型无效”。</w:t>
      </w:r>
    </w:p>
    <w:p>
      <w:r>
        <w:t>LightGBM+QRA的地区平均RMSE为269.466，优于Full_joint的275.397，但其MAE和QS更高。各模型对中位数误差、极端偏差和分布质量的优化方向不同，需要多指标判断；不能只挑选某一个有利指标作为综合胜出依据。</w:t>
      </w:r>
    </w:p>
    <w:p>
      <w:pPr>
        <w:pStyle w:val="Heading2"/>
      </w:pPr>
      <w:r>
        <w:t>5.2 地区差异：QLD1是主要瓶颈</w:t>
      </w:r>
    </w:p>
    <w:p>
      <w:pPr>
        <w:pStyle w:val="Caption"/>
        <w:keepNext/>
      </w:pPr>
      <w:r>
        <w:t>表2　三地区的核心模型比较</w:t>
      </w:r>
    </w:p>
    <w:tbl>
      <w:tblPr>
        <w:tblW w:type="auto" w:w="0"/>
        <w:jc w:val="center"/>
        <w:tblLayout w:type="fixed"/>
        <w:tblLook w:firstColumn="1" w:firstRow="1" w:lastColumn="0" w:lastRow="0" w:noHBand="0" w:noVBand="1" w:val="04A0"/>
      </w:tblPr>
      <w:tblGrid>
        <w:gridCol w:w="850"/>
        <w:gridCol w:w="2438"/>
        <w:gridCol w:w="2041"/>
        <w:gridCol w:w="2041"/>
        <w:gridCol w:w="1417"/>
      </w:tblGrid>
      <w:tr>
        <w:trPr>
          <w:cantSplit/>
          <w:tblHeader/>
        </w:trPr>
        <w:tc>
          <w:tcPr>
            <w:tcW w:type="dxa" w:w="850"/>
            <w:vAlign w:val="center"/>
            <w:shd w:fill="143E52"/>
          </w:tcPr>
          <w:p>
            <w:pPr>
              <w:keepNext/>
              <w:spacing w:after="60" w:before="60" w:line="259" w:lineRule="auto"/>
            </w:pPr>
            <w:r>
              <w:rPr>
                <w:rFonts w:ascii="Calibri" w:hAnsi="Calibri" w:eastAsia="Noto Sans CJK SC"/>
                <w:b/>
                <w:color w:val="FFFFFF"/>
                <w:sz w:val="16"/>
              </w:rPr>
              <w:t>地区</w:t>
            </w:r>
          </w:p>
        </w:tc>
        <w:tc>
          <w:tcPr>
            <w:tcW w:type="dxa" w:w="2438"/>
            <w:vAlign w:val="center"/>
            <w:shd w:fill="143E52"/>
          </w:tcPr>
          <w:p>
            <w:pPr>
              <w:keepNext/>
              <w:spacing w:after="60" w:before="60" w:line="259" w:lineRule="auto"/>
            </w:pPr>
            <w:r>
              <w:rPr>
                <w:rFonts w:ascii="Calibri" w:hAnsi="Calibri" w:eastAsia="Noto Sans CJK SC"/>
                <w:b/>
                <w:color w:val="FFFFFF"/>
                <w:sz w:val="16"/>
              </w:rPr>
              <w:t>模型</w:t>
            </w:r>
          </w:p>
        </w:tc>
        <w:tc>
          <w:tcPr>
            <w:tcW w:type="dxa" w:w="2041"/>
            <w:vAlign w:val="center"/>
            <w:shd w:fill="143E52"/>
          </w:tcPr>
          <w:p>
            <w:pPr>
              <w:keepNext/>
              <w:spacing w:after="60" w:before="60" w:line="259" w:lineRule="auto"/>
            </w:pPr>
            <w:r>
              <w:rPr>
                <w:rFonts w:ascii="Calibri" w:hAnsi="Calibri" w:eastAsia="Noto Sans CJK SC"/>
                <w:b/>
                <w:color w:val="FFFFFF"/>
                <w:sz w:val="16"/>
              </w:rPr>
              <w:t>MAE ↓</w:t>
            </w:r>
          </w:p>
        </w:tc>
        <w:tc>
          <w:tcPr>
            <w:tcW w:type="dxa" w:w="2041"/>
            <w:vAlign w:val="center"/>
            <w:shd w:fill="143E52"/>
          </w:tcPr>
          <w:p>
            <w:pPr>
              <w:keepNext/>
              <w:spacing w:after="60" w:before="60" w:line="259" w:lineRule="auto"/>
            </w:pPr>
            <w:r>
              <w:rPr>
                <w:rFonts w:ascii="Calibri" w:hAnsi="Calibri" w:eastAsia="Noto Sans CJK SC"/>
                <w:b/>
                <w:color w:val="FFFFFF"/>
                <w:sz w:val="16"/>
              </w:rPr>
              <w:t>QS ↓</w:t>
            </w:r>
          </w:p>
        </w:tc>
        <w:tc>
          <w:tcPr>
            <w:tcW w:type="dxa" w:w="1417"/>
            <w:vAlign w:val="center"/>
            <w:shd w:fill="143E52"/>
          </w:tcPr>
          <w:p>
            <w:pPr>
              <w:keepNext/>
              <w:spacing w:after="60" w:before="60" w:line="259" w:lineRule="auto"/>
            </w:pPr>
            <w:r>
              <w:rPr>
                <w:rFonts w:ascii="Calibri" w:hAnsi="Calibri" w:eastAsia="Noto Sans CJK SC"/>
                <w:b/>
                <w:color w:val="FFFFFF"/>
                <w:sz w:val="16"/>
              </w:rPr>
              <w:t>90%覆盖率</w:t>
            </w:r>
          </w:p>
        </w:tc>
      </w:tr>
      <w:tr>
        <w:trPr>
          <w:cantSplit/>
        </w:trPr>
        <w:tc>
          <w:tcPr>
            <w:tcW w:type="dxa" w:w="850"/>
            <w:vAlign w:val="center"/>
            <w:shd w:fill="EEF4F7"/>
          </w:tcPr>
          <w:p>
            <w:pPr>
              <w:keepNext/>
              <w:spacing w:after="60" w:before="60" w:line="259" w:lineRule="auto"/>
            </w:pPr>
            <w:r>
              <w:rPr>
                <w:rFonts w:ascii="Calibri" w:hAnsi="Calibri" w:eastAsia="Noto Sans CJK SC"/>
                <w:b w:val="0"/>
                <w:color w:val="172F3B"/>
                <w:sz w:val="16"/>
              </w:rPr>
              <w:t>NSW1</w:t>
            </w:r>
          </w:p>
        </w:tc>
        <w:tc>
          <w:tcPr>
            <w:tcW w:type="dxa" w:w="2438"/>
            <w:vAlign w:val="center"/>
            <w:shd w:fill="EEF4F7"/>
          </w:tcPr>
          <w:p>
            <w:pPr>
              <w:keepNext/>
              <w:spacing w:after="60" w:before="60" w:line="259" w:lineRule="auto"/>
            </w:pPr>
            <w:r>
              <w:rPr>
                <w:rFonts w:ascii="Calibri" w:hAnsi="Calibri" w:eastAsia="Noto Sans CJK SC"/>
                <w:b w:val="0"/>
                <w:color w:val="172F3B"/>
                <w:sz w:val="16"/>
              </w:rPr>
              <w:t>LightGBM</w:t>
            </w:r>
          </w:p>
        </w:tc>
        <w:tc>
          <w:tcPr>
            <w:tcW w:type="dxa" w:w="2041"/>
            <w:vAlign w:val="center"/>
            <w:shd w:fill="EEF4F7"/>
          </w:tcPr>
          <w:p>
            <w:pPr>
              <w:keepNext/>
              <w:spacing w:after="60" w:before="60" w:line="259" w:lineRule="auto"/>
            </w:pPr>
            <w:r>
              <w:rPr>
                <w:rFonts w:ascii="Calibri" w:hAnsi="Calibri" w:eastAsia="Noto Sans CJK SC"/>
                <w:b w:val="0"/>
                <w:color w:val="172F3B"/>
                <w:sz w:val="16"/>
              </w:rPr>
              <w:t>44.333 ± 0.027</w:t>
            </w:r>
          </w:p>
        </w:tc>
        <w:tc>
          <w:tcPr>
            <w:tcW w:type="dxa" w:w="2041"/>
            <w:vAlign w:val="center"/>
            <w:shd w:fill="EEF4F7"/>
          </w:tcPr>
          <w:p>
            <w:pPr>
              <w:keepNext/>
              <w:spacing w:after="60" w:before="60" w:line="259" w:lineRule="auto"/>
            </w:pPr>
            <w:r>
              <w:rPr>
                <w:rFonts w:ascii="Calibri" w:hAnsi="Calibri" w:eastAsia="Noto Sans CJK SC"/>
                <w:b w:val="0"/>
                <w:color w:val="172F3B"/>
                <w:sz w:val="16"/>
              </w:rPr>
              <w:t>31.318 ± 0.053</w:t>
            </w:r>
          </w:p>
        </w:tc>
        <w:tc>
          <w:tcPr>
            <w:tcW w:type="dxa" w:w="1417"/>
            <w:vAlign w:val="center"/>
            <w:shd w:fill="EEF4F7"/>
          </w:tcPr>
          <w:p>
            <w:pPr>
              <w:keepNext/>
              <w:spacing w:after="60" w:before="60" w:line="259" w:lineRule="auto"/>
            </w:pPr>
            <w:r>
              <w:rPr>
                <w:rFonts w:ascii="Calibri" w:hAnsi="Calibri" w:eastAsia="Noto Sans CJK SC"/>
                <w:b w:val="0"/>
                <w:color w:val="172F3B"/>
                <w:sz w:val="16"/>
              </w:rPr>
              <w:t>83.56%</w:t>
            </w:r>
          </w:p>
        </w:tc>
      </w:tr>
      <w:tr>
        <w:trPr>
          <w:cantSplit/>
        </w:trPr>
        <w:tc>
          <w:tcPr>
            <w:tcW w:type="dxa" w:w="850"/>
            <w:vAlign w:val="center"/>
            <w:shd w:fill="FFFFFF"/>
          </w:tcPr>
          <w:p>
            <w:pPr>
              <w:keepNext/>
              <w:spacing w:after="60" w:before="60" w:line="259" w:lineRule="auto"/>
            </w:pPr>
            <w:r>
              <w:rPr>
                <w:rFonts w:ascii="Calibri" w:hAnsi="Calibri" w:eastAsia="Noto Sans CJK SC"/>
                <w:b w:val="0"/>
                <w:color w:val="172F3B"/>
                <w:sz w:val="16"/>
              </w:rPr>
              <w:t>NSW1</w:t>
            </w:r>
          </w:p>
        </w:tc>
        <w:tc>
          <w:tcPr>
            <w:tcW w:type="dxa" w:w="2438"/>
            <w:vAlign w:val="center"/>
            <w:shd w:fill="FFFFFF"/>
          </w:tcPr>
          <w:p>
            <w:pPr>
              <w:keepNext/>
              <w:spacing w:after="60" w:before="60" w:line="259" w:lineRule="auto"/>
            </w:pPr>
            <w:r>
              <w:rPr>
                <w:rFonts w:ascii="Calibri" w:hAnsi="Calibri" w:eastAsia="Noto Sans CJK SC"/>
                <w:b w:val="0"/>
                <w:color w:val="172F3B"/>
                <w:sz w:val="16"/>
              </w:rPr>
              <w:t>XGBoost</w:t>
            </w:r>
          </w:p>
        </w:tc>
        <w:tc>
          <w:tcPr>
            <w:tcW w:type="dxa" w:w="2041"/>
            <w:vAlign w:val="center"/>
            <w:shd w:fill="FFFFFF"/>
          </w:tcPr>
          <w:p>
            <w:pPr>
              <w:keepNext/>
              <w:spacing w:after="60" w:before="60" w:line="259" w:lineRule="auto"/>
            </w:pPr>
            <w:r>
              <w:rPr>
                <w:rFonts w:ascii="Calibri" w:hAnsi="Calibri" w:eastAsia="Noto Sans CJK SC"/>
                <w:b w:val="0"/>
                <w:color w:val="172F3B"/>
                <w:sz w:val="16"/>
              </w:rPr>
              <w:t>45.209 ± 0.076</w:t>
            </w:r>
          </w:p>
        </w:tc>
        <w:tc>
          <w:tcPr>
            <w:tcW w:type="dxa" w:w="2041"/>
            <w:vAlign w:val="center"/>
            <w:shd w:fill="FFFFFF"/>
          </w:tcPr>
          <w:p>
            <w:pPr>
              <w:keepNext/>
              <w:spacing w:after="60" w:before="60" w:line="259" w:lineRule="auto"/>
            </w:pPr>
            <w:r>
              <w:rPr>
                <w:rFonts w:ascii="Calibri" w:hAnsi="Calibri" w:eastAsia="Noto Sans CJK SC"/>
                <w:b w:val="0"/>
                <w:color w:val="172F3B"/>
                <w:sz w:val="16"/>
              </w:rPr>
              <w:t>32.918 ± 0.035</w:t>
            </w:r>
          </w:p>
        </w:tc>
        <w:tc>
          <w:tcPr>
            <w:tcW w:type="dxa" w:w="1417"/>
            <w:vAlign w:val="center"/>
            <w:shd w:fill="FFFFFF"/>
          </w:tcPr>
          <w:p>
            <w:pPr>
              <w:keepNext/>
              <w:spacing w:after="60" w:before="60" w:line="259" w:lineRule="auto"/>
            </w:pPr>
            <w:r>
              <w:rPr>
                <w:rFonts w:ascii="Calibri" w:hAnsi="Calibri" w:eastAsia="Noto Sans CJK SC"/>
                <w:b w:val="0"/>
                <w:color w:val="172F3B"/>
                <w:sz w:val="16"/>
              </w:rPr>
              <w:t>83.33%</w:t>
            </w:r>
          </w:p>
        </w:tc>
      </w:tr>
      <w:tr>
        <w:trPr>
          <w:cantSplit/>
        </w:trPr>
        <w:tc>
          <w:tcPr>
            <w:tcW w:type="dxa" w:w="850"/>
            <w:vAlign w:val="center"/>
            <w:shd w:fill="EEF4F7"/>
          </w:tcPr>
          <w:p>
            <w:pPr>
              <w:keepNext/>
              <w:spacing w:after="60" w:before="60" w:line="259" w:lineRule="auto"/>
            </w:pPr>
            <w:r>
              <w:rPr>
                <w:rFonts w:ascii="Calibri" w:hAnsi="Calibri" w:eastAsia="Noto Sans CJK SC"/>
                <w:b w:val="0"/>
                <w:color w:val="172F3B"/>
                <w:sz w:val="16"/>
              </w:rPr>
              <w:t>NSW1</w:t>
            </w:r>
          </w:p>
        </w:tc>
        <w:tc>
          <w:tcPr>
            <w:tcW w:type="dxa" w:w="2438"/>
            <w:vAlign w:val="center"/>
            <w:shd w:fill="EEF4F7"/>
          </w:tcPr>
          <w:p>
            <w:pPr>
              <w:keepNext/>
              <w:spacing w:after="60" w:before="60" w:line="259" w:lineRule="auto"/>
            </w:pPr>
            <w:r>
              <w:rPr>
                <w:rFonts w:ascii="Calibri" w:hAnsi="Calibri" w:eastAsia="Noto Sans CJK SC"/>
                <w:b w:val="0"/>
                <w:color w:val="172F3B"/>
                <w:sz w:val="16"/>
              </w:rPr>
              <w:t>Full_joint（当前方法）</w:t>
            </w:r>
          </w:p>
        </w:tc>
        <w:tc>
          <w:tcPr>
            <w:tcW w:type="dxa" w:w="2041"/>
            <w:vAlign w:val="center"/>
            <w:shd w:fill="EEF4F7"/>
          </w:tcPr>
          <w:p>
            <w:pPr>
              <w:keepNext/>
              <w:spacing w:after="60" w:before="60" w:line="259" w:lineRule="auto"/>
            </w:pPr>
            <w:r>
              <w:rPr>
                <w:rFonts w:ascii="Calibri" w:hAnsi="Calibri" w:eastAsia="Noto Sans CJK SC"/>
                <w:b w:val="0"/>
                <w:color w:val="172F3B"/>
                <w:sz w:val="16"/>
              </w:rPr>
              <w:t>44.036 ± 0.213</w:t>
            </w:r>
          </w:p>
        </w:tc>
        <w:tc>
          <w:tcPr>
            <w:tcW w:type="dxa" w:w="2041"/>
            <w:vAlign w:val="center"/>
            <w:shd w:fill="EEF4F7"/>
          </w:tcPr>
          <w:p>
            <w:pPr>
              <w:keepNext/>
              <w:spacing w:after="60" w:before="60" w:line="259" w:lineRule="auto"/>
            </w:pPr>
            <w:r>
              <w:rPr>
                <w:rFonts w:ascii="Calibri" w:hAnsi="Calibri" w:eastAsia="Noto Sans CJK SC"/>
                <w:b w:val="0"/>
                <w:color w:val="172F3B"/>
                <w:sz w:val="16"/>
              </w:rPr>
              <w:t>30.854 ± 0.341</w:t>
            </w:r>
          </w:p>
        </w:tc>
        <w:tc>
          <w:tcPr>
            <w:tcW w:type="dxa" w:w="1417"/>
            <w:vAlign w:val="center"/>
            <w:shd w:fill="EEF4F7"/>
          </w:tcPr>
          <w:p>
            <w:pPr>
              <w:keepNext/>
              <w:spacing w:after="60" w:before="60" w:line="259" w:lineRule="auto"/>
            </w:pPr>
            <w:r>
              <w:rPr>
                <w:rFonts w:ascii="Calibri" w:hAnsi="Calibri" w:eastAsia="Noto Sans CJK SC"/>
                <w:b w:val="0"/>
                <w:color w:val="172F3B"/>
                <w:sz w:val="16"/>
              </w:rPr>
              <w:t>84.41%</w:t>
            </w:r>
          </w:p>
        </w:tc>
      </w:tr>
      <w:tr>
        <w:trPr>
          <w:cantSplit/>
        </w:trPr>
        <w:tc>
          <w:tcPr>
            <w:tcW w:type="dxa" w:w="850"/>
            <w:vAlign w:val="center"/>
            <w:shd w:fill="FFFFFF"/>
          </w:tcPr>
          <w:p>
            <w:pPr>
              <w:keepNext/>
              <w:spacing w:after="60" w:before="60" w:line="259" w:lineRule="auto"/>
            </w:pPr>
            <w:r>
              <w:rPr>
                <w:rFonts w:ascii="Calibri" w:hAnsi="Calibri" w:eastAsia="Noto Sans CJK SC"/>
                <w:b w:val="0"/>
                <w:color w:val="172F3B"/>
                <w:sz w:val="16"/>
              </w:rPr>
              <w:t>QLD1</w:t>
            </w:r>
          </w:p>
        </w:tc>
        <w:tc>
          <w:tcPr>
            <w:tcW w:type="dxa" w:w="2438"/>
            <w:vAlign w:val="center"/>
            <w:shd w:fill="FFFFFF"/>
          </w:tcPr>
          <w:p>
            <w:pPr>
              <w:keepNext/>
              <w:spacing w:after="60" w:before="60" w:line="259" w:lineRule="auto"/>
            </w:pPr>
            <w:r>
              <w:rPr>
                <w:rFonts w:ascii="Calibri" w:hAnsi="Calibri" w:eastAsia="Noto Sans CJK SC"/>
                <w:b w:val="0"/>
                <w:color w:val="172F3B"/>
                <w:sz w:val="16"/>
              </w:rPr>
              <w:t>LightGBM</w:t>
            </w:r>
          </w:p>
        </w:tc>
        <w:tc>
          <w:tcPr>
            <w:tcW w:type="dxa" w:w="2041"/>
            <w:vAlign w:val="center"/>
            <w:shd w:fill="FFFFFF"/>
          </w:tcPr>
          <w:p>
            <w:pPr>
              <w:keepNext/>
              <w:spacing w:after="60" w:before="60" w:line="259" w:lineRule="auto"/>
            </w:pPr>
            <w:r>
              <w:rPr>
                <w:rFonts w:ascii="Calibri" w:hAnsi="Calibri" w:eastAsia="Noto Sans CJK SC"/>
                <w:b w:val="0"/>
                <w:color w:val="172F3B"/>
                <w:sz w:val="16"/>
              </w:rPr>
              <w:t>38.213 ± 0.022</w:t>
            </w:r>
          </w:p>
        </w:tc>
        <w:tc>
          <w:tcPr>
            <w:tcW w:type="dxa" w:w="2041"/>
            <w:vAlign w:val="center"/>
            <w:shd w:fill="FFFFFF"/>
          </w:tcPr>
          <w:p>
            <w:pPr>
              <w:keepNext/>
              <w:spacing w:after="60" w:before="60" w:line="259" w:lineRule="auto"/>
            </w:pPr>
            <w:r>
              <w:rPr>
                <w:rFonts w:ascii="Calibri" w:hAnsi="Calibri" w:eastAsia="Noto Sans CJK SC"/>
                <w:b w:val="0"/>
                <w:color w:val="172F3B"/>
                <w:sz w:val="16"/>
              </w:rPr>
              <w:t>24.919 ± 0.032</w:t>
            </w:r>
          </w:p>
        </w:tc>
        <w:tc>
          <w:tcPr>
            <w:tcW w:type="dxa" w:w="1417"/>
            <w:vAlign w:val="center"/>
            <w:shd w:fill="FFFFFF"/>
          </w:tcPr>
          <w:p>
            <w:pPr>
              <w:keepNext/>
              <w:spacing w:after="60" w:before="60" w:line="259" w:lineRule="auto"/>
            </w:pPr>
            <w:r>
              <w:rPr>
                <w:rFonts w:ascii="Calibri" w:hAnsi="Calibri" w:eastAsia="Noto Sans CJK SC"/>
                <w:b w:val="0"/>
                <w:color w:val="172F3B"/>
                <w:sz w:val="16"/>
              </w:rPr>
              <w:t>90.98%</w:t>
            </w:r>
          </w:p>
        </w:tc>
      </w:tr>
      <w:tr>
        <w:trPr>
          <w:cantSplit/>
        </w:trPr>
        <w:tc>
          <w:tcPr>
            <w:tcW w:type="dxa" w:w="850"/>
            <w:vAlign w:val="center"/>
            <w:shd w:fill="EEF4F7"/>
          </w:tcPr>
          <w:p>
            <w:pPr>
              <w:keepNext/>
              <w:spacing w:after="60" w:before="60" w:line="259" w:lineRule="auto"/>
            </w:pPr>
            <w:r>
              <w:rPr>
                <w:rFonts w:ascii="Calibri" w:hAnsi="Calibri" w:eastAsia="Noto Sans CJK SC"/>
                <w:b w:val="0"/>
                <w:color w:val="172F3B"/>
                <w:sz w:val="16"/>
              </w:rPr>
              <w:t>QLD1</w:t>
            </w:r>
          </w:p>
        </w:tc>
        <w:tc>
          <w:tcPr>
            <w:tcW w:type="dxa" w:w="2438"/>
            <w:vAlign w:val="center"/>
            <w:shd w:fill="EEF4F7"/>
          </w:tcPr>
          <w:p>
            <w:pPr>
              <w:keepNext/>
              <w:spacing w:after="60" w:before="60" w:line="259" w:lineRule="auto"/>
            </w:pPr>
            <w:r>
              <w:rPr>
                <w:rFonts w:ascii="Calibri" w:hAnsi="Calibri" w:eastAsia="Noto Sans CJK SC"/>
                <w:b w:val="0"/>
                <w:color w:val="172F3B"/>
                <w:sz w:val="16"/>
              </w:rPr>
              <w:t>XGBoost</w:t>
            </w:r>
          </w:p>
        </w:tc>
        <w:tc>
          <w:tcPr>
            <w:tcW w:type="dxa" w:w="2041"/>
            <w:vAlign w:val="center"/>
            <w:shd w:fill="EEF4F7"/>
          </w:tcPr>
          <w:p>
            <w:pPr>
              <w:keepNext/>
              <w:spacing w:after="60" w:before="60" w:line="259" w:lineRule="auto"/>
            </w:pPr>
            <w:r>
              <w:rPr>
                <w:rFonts w:ascii="Calibri" w:hAnsi="Calibri" w:eastAsia="Noto Sans CJK SC"/>
                <w:b w:val="0"/>
                <w:color w:val="172F3B"/>
                <w:sz w:val="16"/>
              </w:rPr>
              <w:t>39.475 ± 0.097</w:t>
            </w:r>
          </w:p>
        </w:tc>
        <w:tc>
          <w:tcPr>
            <w:tcW w:type="dxa" w:w="2041"/>
            <w:vAlign w:val="center"/>
            <w:shd w:fill="EEF4F7"/>
          </w:tcPr>
          <w:p>
            <w:pPr>
              <w:keepNext/>
              <w:spacing w:after="60" w:before="60" w:line="259" w:lineRule="auto"/>
            </w:pPr>
            <w:r>
              <w:rPr>
                <w:rFonts w:ascii="Calibri" w:hAnsi="Calibri" w:eastAsia="Noto Sans CJK SC"/>
                <w:b w:val="0"/>
                <w:color w:val="172F3B"/>
                <w:sz w:val="16"/>
              </w:rPr>
              <w:t>27.126 ± 0.018</w:t>
            </w:r>
          </w:p>
        </w:tc>
        <w:tc>
          <w:tcPr>
            <w:tcW w:type="dxa" w:w="1417"/>
            <w:vAlign w:val="center"/>
            <w:shd w:fill="EEF4F7"/>
          </w:tcPr>
          <w:p>
            <w:pPr>
              <w:keepNext/>
              <w:spacing w:after="60" w:before="60" w:line="259" w:lineRule="auto"/>
            </w:pPr>
            <w:r>
              <w:rPr>
                <w:rFonts w:ascii="Calibri" w:hAnsi="Calibri" w:eastAsia="Noto Sans CJK SC"/>
                <w:b w:val="0"/>
                <w:color w:val="172F3B"/>
                <w:sz w:val="16"/>
              </w:rPr>
              <w:t>91.32%</w:t>
            </w:r>
          </w:p>
        </w:tc>
      </w:tr>
      <w:tr>
        <w:trPr>
          <w:cantSplit/>
        </w:trPr>
        <w:tc>
          <w:tcPr>
            <w:tcW w:type="dxa" w:w="850"/>
            <w:vAlign w:val="center"/>
            <w:shd w:fill="FFFFFF"/>
          </w:tcPr>
          <w:p>
            <w:pPr>
              <w:keepNext/>
              <w:spacing w:after="60" w:before="60" w:line="259" w:lineRule="auto"/>
            </w:pPr>
            <w:r>
              <w:rPr>
                <w:rFonts w:ascii="Calibri" w:hAnsi="Calibri" w:eastAsia="Noto Sans CJK SC"/>
                <w:b w:val="0"/>
                <w:color w:val="172F3B"/>
                <w:sz w:val="16"/>
              </w:rPr>
              <w:t>QLD1</w:t>
            </w:r>
          </w:p>
        </w:tc>
        <w:tc>
          <w:tcPr>
            <w:tcW w:type="dxa" w:w="2438"/>
            <w:vAlign w:val="center"/>
            <w:shd w:fill="FFFFFF"/>
          </w:tcPr>
          <w:p>
            <w:pPr>
              <w:keepNext/>
              <w:spacing w:after="60" w:before="60" w:line="259" w:lineRule="auto"/>
            </w:pPr>
            <w:r>
              <w:rPr>
                <w:rFonts w:ascii="Calibri" w:hAnsi="Calibri" w:eastAsia="Noto Sans CJK SC"/>
                <w:b w:val="0"/>
                <w:color w:val="172F3B"/>
                <w:sz w:val="16"/>
              </w:rPr>
              <w:t>Full_joint（当前方法）</w:t>
            </w:r>
          </w:p>
        </w:tc>
        <w:tc>
          <w:tcPr>
            <w:tcW w:type="dxa" w:w="2041"/>
            <w:vAlign w:val="center"/>
            <w:shd w:fill="FFFFFF"/>
          </w:tcPr>
          <w:p>
            <w:pPr>
              <w:keepNext/>
              <w:spacing w:after="60" w:before="60" w:line="259" w:lineRule="auto"/>
            </w:pPr>
            <w:r>
              <w:rPr>
                <w:rFonts w:ascii="Calibri" w:hAnsi="Calibri" w:eastAsia="Noto Sans CJK SC"/>
                <w:b w:val="0"/>
                <w:color w:val="172F3B"/>
                <w:sz w:val="16"/>
              </w:rPr>
              <w:t>40.746 ± 1.461</w:t>
            </w:r>
          </w:p>
        </w:tc>
        <w:tc>
          <w:tcPr>
            <w:tcW w:type="dxa" w:w="2041"/>
            <w:vAlign w:val="center"/>
            <w:shd w:fill="FFFFFF"/>
          </w:tcPr>
          <w:p>
            <w:pPr>
              <w:keepNext/>
              <w:spacing w:after="60" w:before="60" w:line="259" w:lineRule="auto"/>
            </w:pPr>
            <w:r>
              <w:rPr>
                <w:rFonts w:ascii="Calibri" w:hAnsi="Calibri" w:eastAsia="Noto Sans CJK SC"/>
                <w:b w:val="0"/>
                <w:color w:val="172F3B"/>
                <w:sz w:val="16"/>
              </w:rPr>
              <w:t>25.956 ± 0.709</w:t>
            </w:r>
          </w:p>
        </w:tc>
        <w:tc>
          <w:tcPr>
            <w:tcW w:type="dxa" w:w="1417"/>
            <w:vAlign w:val="center"/>
            <w:shd w:fill="FFFFFF"/>
          </w:tcPr>
          <w:p>
            <w:pPr>
              <w:keepNext/>
              <w:spacing w:after="60" w:before="60" w:line="259" w:lineRule="auto"/>
            </w:pPr>
            <w:r>
              <w:rPr>
                <w:rFonts w:ascii="Calibri" w:hAnsi="Calibri" w:eastAsia="Noto Sans CJK SC"/>
                <w:b w:val="0"/>
                <w:color w:val="172F3B"/>
                <w:sz w:val="16"/>
              </w:rPr>
              <w:t>83.40%</w:t>
            </w:r>
          </w:p>
        </w:tc>
      </w:tr>
      <w:tr>
        <w:trPr>
          <w:cantSplit/>
        </w:trPr>
        <w:tc>
          <w:tcPr>
            <w:tcW w:type="dxa" w:w="850"/>
            <w:vAlign w:val="center"/>
            <w:shd w:fill="EEF4F7"/>
          </w:tcPr>
          <w:p>
            <w:pPr>
              <w:keepNext/>
              <w:spacing w:after="60" w:before="60" w:line="259" w:lineRule="auto"/>
            </w:pPr>
            <w:r>
              <w:rPr>
                <w:rFonts w:ascii="Calibri" w:hAnsi="Calibri" w:eastAsia="Noto Sans CJK SC"/>
                <w:b w:val="0"/>
                <w:color w:val="172F3B"/>
                <w:sz w:val="16"/>
              </w:rPr>
              <w:t>TAS1</w:t>
            </w:r>
          </w:p>
        </w:tc>
        <w:tc>
          <w:tcPr>
            <w:tcW w:type="dxa" w:w="2438"/>
            <w:vAlign w:val="center"/>
            <w:shd w:fill="EEF4F7"/>
          </w:tcPr>
          <w:p>
            <w:pPr>
              <w:keepNext/>
              <w:spacing w:after="60" w:before="60" w:line="259" w:lineRule="auto"/>
            </w:pPr>
            <w:r>
              <w:rPr>
                <w:rFonts w:ascii="Calibri" w:hAnsi="Calibri" w:eastAsia="Noto Sans CJK SC"/>
                <w:b w:val="0"/>
                <w:color w:val="172F3B"/>
                <w:sz w:val="16"/>
              </w:rPr>
              <w:t>LightGBM</w:t>
            </w:r>
          </w:p>
        </w:tc>
        <w:tc>
          <w:tcPr>
            <w:tcW w:type="dxa" w:w="2041"/>
            <w:vAlign w:val="center"/>
            <w:shd w:fill="EEF4F7"/>
          </w:tcPr>
          <w:p>
            <w:pPr>
              <w:keepNext/>
              <w:spacing w:after="60" w:before="60" w:line="259" w:lineRule="auto"/>
            </w:pPr>
            <w:r>
              <w:rPr>
                <w:rFonts w:ascii="Calibri" w:hAnsi="Calibri" w:eastAsia="Noto Sans CJK SC"/>
                <w:b w:val="0"/>
                <w:color w:val="172F3B"/>
                <w:sz w:val="16"/>
              </w:rPr>
              <w:t>28.758 ± 0.049</w:t>
            </w:r>
          </w:p>
        </w:tc>
        <w:tc>
          <w:tcPr>
            <w:tcW w:type="dxa" w:w="2041"/>
            <w:vAlign w:val="center"/>
            <w:shd w:fill="EEF4F7"/>
          </w:tcPr>
          <w:p>
            <w:pPr>
              <w:keepNext/>
              <w:spacing w:after="60" w:before="60" w:line="259" w:lineRule="auto"/>
            </w:pPr>
            <w:r>
              <w:rPr>
                <w:rFonts w:ascii="Calibri" w:hAnsi="Calibri" w:eastAsia="Noto Sans CJK SC"/>
                <w:b w:val="0"/>
                <w:color w:val="172F3B"/>
                <w:sz w:val="16"/>
              </w:rPr>
              <w:t>16.338 ± 0.013</w:t>
            </w:r>
          </w:p>
        </w:tc>
        <w:tc>
          <w:tcPr>
            <w:tcW w:type="dxa" w:w="1417"/>
            <w:vAlign w:val="center"/>
            <w:shd w:fill="EEF4F7"/>
          </w:tcPr>
          <w:p>
            <w:pPr>
              <w:keepNext/>
              <w:spacing w:after="60" w:before="60" w:line="259" w:lineRule="auto"/>
            </w:pPr>
            <w:r>
              <w:rPr>
                <w:rFonts w:ascii="Calibri" w:hAnsi="Calibri" w:eastAsia="Noto Sans CJK SC"/>
                <w:b w:val="0"/>
                <w:color w:val="172F3B"/>
                <w:sz w:val="16"/>
              </w:rPr>
              <w:t>80.78%</w:t>
            </w:r>
          </w:p>
        </w:tc>
      </w:tr>
      <w:tr>
        <w:trPr>
          <w:cantSplit/>
        </w:trPr>
        <w:tc>
          <w:tcPr>
            <w:tcW w:type="dxa" w:w="850"/>
            <w:vAlign w:val="center"/>
            <w:shd w:fill="FFFFFF"/>
          </w:tcPr>
          <w:p>
            <w:pPr>
              <w:keepNext/>
              <w:spacing w:after="60" w:before="60" w:line="259" w:lineRule="auto"/>
            </w:pPr>
            <w:r>
              <w:rPr>
                <w:rFonts w:ascii="Calibri" w:hAnsi="Calibri" w:eastAsia="Noto Sans CJK SC"/>
                <w:b w:val="0"/>
                <w:color w:val="172F3B"/>
                <w:sz w:val="16"/>
              </w:rPr>
              <w:t>TAS1</w:t>
            </w:r>
          </w:p>
        </w:tc>
        <w:tc>
          <w:tcPr>
            <w:tcW w:type="dxa" w:w="2438"/>
            <w:vAlign w:val="center"/>
            <w:shd w:fill="FFFFFF"/>
          </w:tcPr>
          <w:p>
            <w:pPr>
              <w:keepNext/>
              <w:spacing w:after="60" w:before="60" w:line="259" w:lineRule="auto"/>
            </w:pPr>
            <w:r>
              <w:rPr>
                <w:rFonts w:ascii="Calibri" w:hAnsi="Calibri" w:eastAsia="Noto Sans CJK SC"/>
                <w:b w:val="0"/>
                <w:color w:val="172F3B"/>
                <w:sz w:val="16"/>
              </w:rPr>
              <w:t>XGBoost</w:t>
            </w:r>
          </w:p>
        </w:tc>
        <w:tc>
          <w:tcPr>
            <w:tcW w:type="dxa" w:w="2041"/>
            <w:vAlign w:val="center"/>
            <w:shd w:fill="FFFFFF"/>
          </w:tcPr>
          <w:p>
            <w:pPr>
              <w:keepNext/>
              <w:spacing w:after="60" w:before="60" w:line="259" w:lineRule="auto"/>
            </w:pPr>
            <w:r>
              <w:rPr>
                <w:rFonts w:ascii="Calibri" w:hAnsi="Calibri" w:eastAsia="Noto Sans CJK SC"/>
                <w:b w:val="0"/>
                <w:color w:val="172F3B"/>
                <w:sz w:val="16"/>
              </w:rPr>
              <w:t>29.107 ± 0.057</w:t>
            </w:r>
          </w:p>
        </w:tc>
        <w:tc>
          <w:tcPr>
            <w:tcW w:type="dxa" w:w="2041"/>
            <w:vAlign w:val="center"/>
            <w:shd w:fill="FFFFFF"/>
          </w:tcPr>
          <w:p>
            <w:pPr>
              <w:keepNext/>
              <w:spacing w:after="60" w:before="60" w:line="259" w:lineRule="auto"/>
            </w:pPr>
            <w:r>
              <w:rPr>
                <w:rFonts w:ascii="Calibri" w:hAnsi="Calibri" w:eastAsia="Noto Sans CJK SC"/>
                <w:b w:val="0"/>
                <w:color w:val="172F3B"/>
                <w:sz w:val="16"/>
              </w:rPr>
              <w:t>16.823 ± 0.029</w:t>
            </w:r>
          </w:p>
        </w:tc>
        <w:tc>
          <w:tcPr>
            <w:tcW w:type="dxa" w:w="1417"/>
            <w:vAlign w:val="center"/>
            <w:shd w:fill="FFFFFF"/>
          </w:tcPr>
          <w:p>
            <w:pPr>
              <w:keepNext/>
              <w:spacing w:after="60" w:before="60" w:line="259" w:lineRule="auto"/>
            </w:pPr>
            <w:r>
              <w:rPr>
                <w:rFonts w:ascii="Calibri" w:hAnsi="Calibri" w:eastAsia="Noto Sans CJK SC"/>
                <w:b w:val="0"/>
                <w:color w:val="172F3B"/>
                <w:sz w:val="16"/>
              </w:rPr>
              <w:t>80.39%</w:t>
            </w:r>
          </w:p>
        </w:tc>
      </w:tr>
      <w:tr>
        <w:trPr>
          <w:cantSplit/>
        </w:trPr>
        <w:tc>
          <w:tcPr>
            <w:tcW w:type="dxa" w:w="850"/>
            <w:vAlign w:val="center"/>
            <w:shd w:fill="EEF4F7"/>
          </w:tcPr>
          <w:p>
            <w:pPr>
              <w:spacing w:after="60" w:before="60" w:line="259" w:lineRule="auto"/>
            </w:pPr>
            <w:r>
              <w:rPr>
                <w:rFonts w:ascii="Calibri" w:hAnsi="Calibri" w:eastAsia="Noto Sans CJK SC"/>
                <w:b w:val="0"/>
                <w:color w:val="172F3B"/>
                <w:sz w:val="16"/>
              </w:rPr>
              <w:t>TAS1</w:t>
            </w:r>
          </w:p>
        </w:tc>
        <w:tc>
          <w:tcPr>
            <w:tcW w:type="dxa" w:w="2438"/>
            <w:vAlign w:val="center"/>
            <w:shd w:fill="EEF4F7"/>
          </w:tcPr>
          <w:p>
            <w:pPr>
              <w:spacing w:after="60" w:before="60" w:line="259" w:lineRule="auto"/>
            </w:pPr>
            <w:r>
              <w:rPr>
                <w:rFonts w:ascii="Calibri" w:hAnsi="Calibri" w:eastAsia="Noto Sans CJK SC"/>
                <w:b w:val="0"/>
                <w:color w:val="172F3B"/>
                <w:sz w:val="16"/>
              </w:rPr>
              <w:t>Full_joint（当前方法）</w:t>
            </w:r>
          </w:p>
        </w:tc>
        <w:tc>
          <w:tcPr>
            <w:tcW w:type="dxa" w:w="2041"/>
            <w:vAlign w:val="center"/>
            <w:shd w:fill="EEF4F7"/>
          </w:tcPr>
          <w:p>
            <w:pPr>
              <w:spacing w:after="60" w:before="60" w:line="259" w:lineRule="auto"/>
            </w:pPr>
            <w:r>
              <w:rPr>
                <w:rFonts w:ascii="Calibri" w:hAnsi="Calibri" w:eastAsia="Noto Sans CJK SC"/>
                <w:b w:val="0"/>
                <w:color w:val="172F3B"/>
                <w:sz w:val="16"/>
              </w:rPr>
              <w:t>28.567 ± 0.104</w:t>
            </w:r>
          </w:p>
        </w:tc>
        <w:tc>
          <w:tcPr>
            <w:tcW w:type="dxa" w:w="2041"/>
            <w:vAlign w:val="center"/>
            <w:shd w:fill="EEF4F7"/>
          </w:tcPr>
          <w:p>
            <w:pPr>
              <w:spacing w:after="60" w:before="60" w:line="259" w:lineRule="auto"/>
            </w:pPr>
            <w:r>
              <w:rPr>
                <w:rFonts w:ascii="Calibri" w:hAnsi="Calibri" w:eastAsia="Noto Sans CJK SC"/>
                <w:b w:val="0"/>
                <w:color w:val="172F3B"/>
                <w:sz w:val="16"/>
              </w:rPr>
              <w:t>16.367 ± 0.088</w:t>
            </w:r>
          </w:p>
        </w:tc>
        <w:tc>
          <w:tcPr>
            <w:tcW w:type="dxa" w:w="1417"/>
            <w:vAlign w:val="center"/>
            <w:shd w:fill="EEF4F7"/>
          </w:tcPr>
          <w:p>
            <w:pPr>
              <w:spacing w:after="60" w:before="60" w:line="259" w:lineRule="auto"/>
            </w:pPr>
            <w:r>
              <w:rPr>
                <w:rFonts w:ascii="Calibri" w:hAnsi="Calibri" w:eastAsia="Noto Sans CJK SC"/>
                <w:b w:val="0"/>
                <w:color w:val="172F3B"/>
                <w:sz w:val="16"/>
              </w:rPr>
              <w:t>80.29%</w:t>
            </w:r>
          </w:p>
        </w:tc>
      </w:tr>
    </w:tbl>
    <w:p>
      <w:pPr>
        <w:spacing w:after="0"/>
      </w:pPr>
    </w:p>
    <w:p>
      <w:pPr>
        <w:keepNext/>
      </w:pPr>
      <w:r>
        <w:drawing>
          <wp:inline xmlns:a="http://schemas.openxmlformats.org/drawingml/2006/main" xmlns:pic="http://schemas.openxmlformats.org/drawingml/2006/picture">
            <wp:extent cx="5976000" cy="2211120"/>
            <wp:docPr id="3" name="Picture 3"/>
            <wp:cNvGraphicFramePr>
              <a:graphicFrameLocks noChangeAspect="1"/>
            </wp:cNvGraphicFramePr>
            <a:graphic>
              <a:graphicData uri="http://schemas.openxmlformats.org/drawingml/2006/picture">
                <pic:pic>
                  <pic:nvPicPr>
                    <pic:cNvPr id="0" name="regional_comparison.png"/>
                    <pic:cNvPicPr/>
                  </pic:nvPicPr>
                  <pic:blipFill>
                    <a:blip r:embed="rId13"/>
                    <a:stretch>
                      <a:fillRect/>
                    </a:stretch>
                  </pic:blipFill>
                  <pic:spPr>
                    <a:xfrm>
                      <a:off x="0" y="0"/>
                      <a:ext cx="5976000" cy="2211120"/>
                    </a:xfrm>
                    <a:prstGeom prst="rect"/>
                  </pic:spPr>
                </pic:pic>
              </a:graphicData>
            </a:graphic>
          </wp:inline>
        </w:drawing>
      </w:r>
    </w:p>
    <w:p>
      <w:pPr>
        <w:pStyle w:val="Caption"/>
      </w:pPr>
      <w:r>
        <w:t>图3　三地区的MAE与QS。Full_joint在NSW1改善较一致；QLD1两项主要评分均退化，不能以跨地区平均掩盖此差异。</w:t>
      </w:r>
    </w:p>
    <w:p>
      <w:r>
        <w:t>相对LightGBM，Full_joint在NSW1的MAE由44.333降至44.036，QS由31.318降至30.854；在QLD1，MAE由38.213升至40.746，QS由24.919升至25.956；在TAS1，MAE小幅下降而QS略升。QLD1的MAE种子标准差达到1.461，是下一步定位校正不稳定性的重点。</w:t>
      </w:r>
    </w:p>
    <w:p>
      <w:pPr>
        <w:pStyle w:val="Heading2"/>
      </w:pPr>
      <w:r>
        <w:t>5.3 区间校准与消融解释</w:t>
      </w:r>
    </w:p>
    <w:p>
      <w:pPr>
        <w:keepNext/>
      </w:pPr>
      <w:r>
        <w:drawing>
          <wp:inline xmlns:a="http://schemas.openxmlformats.org/drawingml/2006/main" xmlns:pic="http://schemas.openxmlformats.org/drawingml/2006/picture">
            <wp:extent cx="5976000" cy="2523200"/>
            <wp:docPr id="4" name="Picture 4"/>
            <wp:cNvGraphicFramePr>
              <a:graphicFrameLocks noChangeAspect="1"/>
            </wp:cNvGraphicFramePr>
            <a:graphic>
              <a:graphicData uri="http://schemas.openxmlformats.org/drawingml/2006/picture">
                <pic:pic>
                  <pic:nvPicPr>
                    <pic:cNvPr id="0" name="coverage.png"/>
                    <pic:cNvPicPr/>
                  </pic:nvPicPr>
                  <pic:blipFill>
                    <a:blip r:embed="rId14"/>
                    <a:stretch>
                      <a:fillRect/>
                    </a:stretch>
                  </pic:blipFill>
                  <pic:spPr>
                    <a:xfrm>
                      <a:off x="0" y="0"/>
                      <a:ext cx="5976000" cy="2523200"/>
                    </a:xfrm>
                    <a:prstGeom prst="rect"/>
                  </pic:spPr>
                </pic:pic>
              </a:graphicData>
            </a:graphic>
          </wp:inline>
        </w:drawing>
      </w:r>
    </w:p>
    <w:p>
      <w:pPr>
        <w:pStyle w:val="Caption"/>
      </w:pPr>
      <w:r>
        <w:t>图4　概率区间覆盖率。虚线为80%和90%名义水平。Full_joint区间偏窄、覆盖不足；CP则显著扩大区间，覆盖偏高但QS变差。</w:t>
      </w:r>
    </w:p>
    <w:p>
      <w:r>
        <w:t>Full_joint的80%覆盖率为68.56%，低于LightGBM的72.50%；90%覆盖率为82.70%，低于85.10%。平均90%区间宽度由141.35缩至118.08。因此“区间更窄”没有同时获得更好的可靠性。QLD1尤其明显：80%覆盖率从78.08%降至66.73%，提示Anchor尺度头及后续校正需先解决条件校准。</w:t>
      </w:r>
    </w:p>
    <w:p>
      <w:r>
        <w:t>Full_joint相对同检查点Anchor_joint将MAE从37.908降至37.783、QS从24.467降至24.392，说明历史分支在该输出上有局部增益；但关闭事件项的MAE为37.754，反而略低于完整方法。关闭时间移动后的QS为24.384，也略低于24.392。它们是同检查点干预而非独立重训消融，目前不足以证明事件分支或时间移动具有稳定必要性。</w:t>
      </w:r>
    </w:p>
    <w:p>
      <w:pPr>
        <w:pStyle w:val="Heading2"/>
      </w:pPr>
      <w:r>
        <w:t>5.4 尖峰与常态分层：本报告补充诊断</w:t>
      </w:r>
    </w:p>
    <w:p>
      <w:r>
        <w:t>本报告在2026年10月26日对当前25个输出×9格保存预测进行了额外复算。225份预测的SHA256与登记一致，真实标签、预测起点和交付时间完全对齐，逐格全样本MAE重现误差小于10⁻⁸。本节不新增训练，也不修改主表选择规则。按各地区分别评分、三地区等权、再对三个seed求均值；完整25行分层结果见附录C。</w:t>
      </w:r>
    </w:p>
    <w:p>
      <w:r>
        <w:t>事后分组采用负价y&lt;0、常态0≤y≤300、高价y&gt;300，并在高价内另列极端y&gt;1000；最后两组有包含关系，不应相加。这里筛选的是起点—步长单元中的实际交付价格，不是“24小时窗口里出现过一次尖峰”的整窗指标。阈值仅用于报告诊断，不能视为预测时已知状态。</w:t>
      </w:r>
    </w:p>
    <w:p>
      <w:r>
        <w:t>Full_joint相对LightGBM：高价MAE由988.399降至967.603（改善2.10%），极端MAE由3472.494降至3444.268（改善0.81%）；负价由30.618降至28.540（改善6.79%），常态由22.822升至23.948（退化4.93%）。这说明最新方法确实存在已发生尖峰时的局部点误差改善，但高频常态样本的代价足以抵消它。负价在跨地区平均改善，不代表QLD1负价也改善。</w:t>
      </w:r>
    </w:p>
    <w:p>
      <w:r>
        <w:t>Full_joint并非尖峰切片的最佳方法：LightGBM+QRA在y&gt;300的MAE更低，DLinear在y&gt;1000的MAE更低；PatchTST两个尖峰切片均优于Full_joint，但总体MAE更差。关闭时间移动后的尖峰MAE也略低于完整方法，因此不能将当前尖峰收益直接归功于时间移动模块。</w:t>
      </w:r>
    </w:p>
    <w:p>
      <w:r>
        <w:t>三地区中，实际&gt;1000的唯一交付小时分别只有85、81、18个；它们不等于独立事件数，连续尖峰需进一步合并。重叠滚动窗口将同一小时多次计入不同提前量，不能把相应2040、1944、432个评分单元当成独立尖峰。按真实高价筛选后的偏差、覆盖率也不自动证明条件中位数或预测时可识别状态失准，后续应增加独立事件定义及时间块置信区间。</w:t>
      </w:r>
    </w:p>
    <w:p>
      <w:pPr>
        <w:pStyle w:val="Caption"/>
        <w:keepNext/>
      </w:pPr>
      <w:r>
        <w:t>表3　当前冻结预测的分层MAE，均值，AUD/MWh（完整25行见附录C）</w:t>
      </w:r>
    </w:p>
    <w:tbl>
      <w:tblPr>
        <w:tblW w:type="auto" w:w="0"/>
        <w:jc w:val="center"/>
        <w:tblLayout w:type="fixed"/>
        <w:tblLook w:firstColumn="1" w:firstRow="1" w:lastColumn="0" w:lastRow="0" w:noHBand="0" w:noVBand="1" w:val="04A0"/>
      </w:tblPr>
      <w:tblGrid>
        <w:gridCol w:w="1911"/>
        <w:gridCol w:w="1911"/>
        <w:gridCol w:w="1911"/>
        <w:gridCol w:w="1911"/>
        <w:gridCol w:w="1911"/>
      </w:tblGrid>
      <w:tr>
        <w:trPr>
          <w:cantSplit/>
          <w:tblHeader/>
        </w:trPr>
        <w:tc>
          <w:tcPr>
            <w:tcW w:type="dxa" w:w="1911"/>
            <w:vAlign w:val="center"/>
            <w:shd w:fill="143E52"/>
          </w:tcPr>
          <w:p>
            <w:pPr>
              <w:keepNext/>
              <w:spacing w:after="60" w:before="60" w:line="259" w:lineRule="auto"/>
            </w:pPr>
            <w:r>
              <w:rPr>
                <w:rFonts w:ascii="Calibri" w:hAnsi="Calibri" w:eastAsia="Noto Sans CJK SC"/>
                <w:b/>
                <w:color w:val="FFFFFF"/>
                <w:sz w:val="16"/>
              </w:rPr>
              <w:t>模型/输出</w:t>
            </w:r>
          </w:p>
        </w:tc>
        <w:tc>
          <w:tcPr>
            <w:tcW w:type="dxa" w:w="1911"/>
            <w:vAlign w:val="center"/>
            <w:shd w:fill="143E52"/>
          </w:tcPr>
          <w:p>
            <w:pPr>
              <w:keepNext/>
              <w:spacing w:after="60" w:before="60" w:line="259" w:lineRule="auto"/>
            </w:pPr>
            <w:r>
              <w:rPr>
                <w:rFonts w:ascii="Calibri" w:hAnsi="Calibri" w:eastAsia="Noto Sans CJK SC"/>
                <w:b/>
                <w:color w:val="FFFFFF"/>
                <w:sz w:val="16"/>
              </w:rPr>
              <w:t>负价 &lt;0</w:t>
            </w:r>
          </w:p>
        </w:tc>
        <w:tc>
          <w:tcPr>
            <w:tcW w:type="dxa" w:w="1911"/>
            <w:vAlign w:val="center"/>
            <w:shd w:fill="143E52"/>
          </w:tcPr>
          <w:p>
            <w:pPr>
              <w:keepNext/>
              <w:spacing w:after="60" w:before="60" w:line="259" w:lineRule="auto"/>
            </w:pPr>
            <w:r>
              <w:rPr>
                <w:rFonts w:ascii="Calibri" w:hAnsi="Calibri" w:eastAsia="Noto Sans CJK SC"/>
                <w:b/>
                <w:color w:val="FFFFFF"/>
                <w:sz w:val="16"/>
              </w:rPr>
              <w:t>常态 0–300</w:t>
            </w:r>
          </w:p>
        </w:tc>
        <w:tc>
          <w:tcPr>
            <w:tcW w:type="dxa" w:w="1911"/>
            <w:vAlign w:val="center"/>
            <w:shd w:fill="143E52"/>
          </w:tcPr>
          <w:p>
            <w:pPr>
              <w:keepNext/>
              <w:spacing w:after="60" w:before="60" w:line="259" w:lineRule="auto"/>
            </w:pPr>
            <w:r>
              <w:rPr>
                <w:rFonts w:ascii="Calibri" w:hAnsi="Calibri" w:eastAsia="Noto Sans CJK SC"/>
                <w:b/>
                <w:color w:val="FFFFFF"/>
                <w:sz w:val="16"/>
              </w:rPr>
              <w:t>高价 &gt;300</w:t>
            </w:r>
          </w:p>
        </w:tc>
        <w:tc>
          <w:tcPr>
            <w:tcW w:type="dxa" w:w="1911"/>
            <w:vAlign w:val="center"/>
            <w:shd w:fill="143E52"/>
          </w:tcPr>
          <w:p>
            <w:pPr>
              <w:keepNext/>
              <w:spacing w:after="60" w:before="60" w:line="259" w:lineRule="auto"/>
            </w:pPr>
            <w:r>
              <w:rPr>
                <w:rFonts w:ascii="Calibri" w:hAnsi="Calibri" w:eastAsia="Noto Sans CJK SC"/>
                <w:b/>
                <w:color w:val="FFFFFF"/>
                <w:sz w:val="16"/>
              </w:rPr>
              <w:t>极端 &gt;1000</w:t>
            </w:r>
          </w:p>
        </w:tc>
      </w:tr>
      <w:tr>
        <w:trPr>
          <w:cantSplit/>
        </w:trPr>
        <w:tc>
          <w:tcPr>
            <w:tcW w:type="dxa" w:w="1911"/>
            <w:vAlign w:val="center"/>
            <w:shd w:fill="EEF4F7"/>
          </w:tcPr>
          <w:p>
            <w:pPr>
              <w:keepNext/>
              <w:spacing w:after="60" w:before="60" w:line="259" w:lineRule="auto"/>
            </w:pPr>
            <w:r>
              <w:rPr>
                <w:rFonts w:ascii="Calibri" w:hAnsi="Calibri" w:eastAsia="Noto Sans CJK SC"/>
                <w:b w:val="0"/>
                <w:color w:val="172F3B"/>
                <w:sz w:val="16"/>
              </w:rPr>
              <w:t>LightGBM</w:t>
            </w:r>
          </w:p>
        </w:tc>
        <w:tc>
          <w:tcPr>
            <w:tcW w:type="dxa" w:w="1911"/>
            <w:vAlign w:val="center"/>
            <w:shd w:fill="EEF4F7"/>
          </w:tcPr>
          <w:p>
            <w:pPr>
              <w:keepNext/>
              <w:spacing w:after="60" w:before="60" w:line="259" w:lineRule="auto"/>
            </w:pPr>
            <w:r>
              <w:rPr>
                <w:rFonts w:ascii="Calibri" w:hAnsi="Calibri" w:eastAsia="Noto Sans CJK SC"/>
                <w:b w:val="0"/>
                <w:color w:val="172F3B"/>
                <w:sz w:val="16"/>
              </w:rPr>
              <w:t>30.618</w:t>
            </w:r>
          </w:p>
        </w:tc>
        <w:tc>
          <w:tcPr>
            <w:tcW w:type="dxa" w:w="1911"/>
            <w:vAlign w:val="center"/>
            <w:shd w:fill="EEF4F7"/>
          </w:tcPr>
          <w:p>
            <w:pPr>
              <w:keepNext/>
              <w:spacing w:after="60" w:before="60" w:line="259" w:lineRule="auto"/>
            </w:pPr>
            <w:r>
              <w:rPr>
                <w:rFonts w:ascii="Calibri" w:hAnsi="Calibri" w:eastAsia="Noto Sans CJK SC"/>
                <w:b w:val="0"/>
                <w:color w:val="172F3B"/>
                <w:sz w:val="16"/>
              </w:rPr>
              <w:t>22.822</w:t>
            </w:r>
          </w:p>
        </w:tc>
        <w:tc>
          <w:tcPr>
            <w:tcW w:type="dxa" w:w="1911"/>
            <w:vAlign w:val="center"/>
            <w:shd w:fill="EEF4F7"/>
          </w:tcPr>
          <w:p>
            <w:pPr>
              <w:keepNext/>
              <w:spacing w:after="60" w:before="60" w:line="259" w:lineRule="auto"/>
            </w:pPr>
            <w:r>
              <w:rPr>
                <w:rFonts w:ascii="Calibri" w:hAnsi="Calibri" w:eastAsia="Noto Sans CJK SC"/>
                <w:b w:val="0"/>
                <w:color w:val="172F3B"/>
                <w:sz w:val="16"/>
              </w:rPr>
              <w:t>988.399</w:t>
            </w:r>
          </w:p>
        </w:tc>
        <w:tc>
          <w:tcPr>
            <w:tcW w:type="dxa" w:w="1911"/>
            <w:vAlign w:val="center"/>
            <w:shd w:fill="EEF4F7"/>
          </w:tcPr>
          <w:p>
            <w:pPr>
              <w:keepNext/>
              <w:spacing w:after="60" w:before="60" w:line="259" w:lineRule="auto"/>
            </w:pPr>
            <w:r>
              <w:rPr>
                <w:rFonts w:ascii="Calibri" w:hAnsi="Calibri" w:eastAsia="Noto Sans CJK SC"/>
                <w:b w:val="0"/>
                <w:color w:val="172F3B"/>
                <w:sz w:val="16"/>
              </w:rPr>
              <w:t>3472.494</w:t>
            </w:r>
          </w:p>
        </w:tc>
      </w:tr>
      <w:tr>
        <w:trPr>
          <w:cantSplit/>
        </w:trPr>
        <w:tc>
          <w:tcPr>
            <w:tcW w:type="dxa" w:w="1911"/>
            <w:vAlign w:val="center"/>
            <w:shd w:fill="FFFFFF"/>
          </w:tcPr>
          <w:p>
            <w:pPr>
              <w:keepNext/>
              <w:spacing w:after="60" w:before="60" w:line="259" w:lineRule="auto"/>
            </w:pPr>
            <w:r>
              <w:rPr>
                <w:rFonts w:ascii="Calibri" w:hAnsi="Calibri" w:eastAsia="Noto Sans CJK SC"/>
                <w:b w:val="0"/>
                <w:color w:val="172F3B"/>
                <w:sz w:val="16"/>
              </w:rPr>
              <w:t>XGBoost</w:t>
            </w:r>
          </w:p>
        </w:tc>
        <w:tc>
          <w:tcPr>
            <w:tcW w:type="dxa" w:w="1911"/>
            <w:vAlign w:val="center"/>
            <w:shd w:fill="FFFFFF"/>
          </w:tcPr>
          <w:p>
            <w:pPr>
              <w:keepNext/>
              <w:spacing w:after="60" w:before="60" w:line="259" w:lineRule="auto"/>
            </w:pPr>
            <w:r>
              <w:rPr>
                <w:rFonts w:ascii="Calibri" w:hAnsi="Calibri" w:eastAsia="Noto Sans CJK SC"/>
                <w:b w:val="0"/>
                <w:color w:val="172F3B"/>
                <w:sz w:val="16"/>
              </w:rPr>
              <w:t>35.720</w:t>
            </w:r>
          </w:p>
        </w:tc>
        <w:tc>
          <w:tcPr>
            <w:tcW w:type="dxa" w:w="1911"/>
            <w:vAlign w:val="center"/>
            <w:shd w:fill="FFFFFF"/>
          </w:tcPr>
          <w:p>
            <w:pPr>
              <w:keepNext/>
              <w:spacing w:after="60" w:before="60" w:line="259" w:lineRule="auto"/>
            </w:pPr>
            <w:r>
              <w:rPr>
                <w:rFonts w:ascii="Calibri" w:hAnsi="Calibri" w:eastAsia="Noto Sans CJK SC"/>
                <w:b w:val="0"/>
                <w:color w:val="172F3B"/>
                <w:sz w:val="16"/>
              </w:rPr>
              <w:t>23.141</w:t>
            </w:r>
          </w:p>
        </w:tc>
        <w:tc>
          <w:tcPr>
            <w:tcW w:type="dxa" w:w="1911"/>
            <w:vAlign w:val="center"/>
            <w:shd w:fill="FFFFFF"/>
          </w:tcPr>
          <w:p>
            <w:pPr>
              <w:keepNext/>
              <w:spacing w:after="60" w:before="60" w:line="259" w:lineRule="auto"/>
            </w:pPr>
            <w:r>
              <w:rPr>
                <w:rFonts w:ascii="Calibri" w:hAnsi="Calibri" w:eastAsia="Noto Sans CJK SC"/>
                <w:b w:val="0"/>
                <w:color w:val="172F3B"/>
                <w:sz w:val="16"/>
              </w:rPr>
              <w:t>993.813</w:t>
            </w:r>
          </w:p>
        </w:tc>
        <w:tc>
          <w:tcPr>
            <w:tcW w:type="dxa" w:w="1911"/>
            <w:vAlign w:val="center"/>
            <w:shd w:fill="FFFFFF"/>
          </w:tcPr>
          <w:p>
            <w:pPr>
              <w:keepNext/>
              <w:spacing w:after="60" w:before="60" w:line="259" w:lineRule="auto"/>
            </w:pPr>
            <w:r>
              <w:rPr>
                <w:rFonts w:ascii="Calibri" w:hAnsi="Calibri" w:eastAsia="Noto Sans CJK SC"/>
                <w:b w:val="0"/>
                <w:color w:val="172F3B"/>
                <w:sz w:val="16"/>
              </w:rPr>
              <w:t>3478.080</w:t>
            </w:r>
          </w:p>
        </w:tc>
      </w:tr>
      <w:tr>
        <w:trPr>
          <w:cantSplit/>
        </w:trPr>
        <w:tc>
          <w:tcPr>
            <w:tcW w:type="dxa" w:w="1911"/>
            <w:vAlign w:val="center"/>
            <w:shd w:fill="EEF4F7"/>
          </w:tcPr>
          <w:p>
            <w:pPr>
              <w:keepNext/>
              <w:spacing w:after="60" w:before="60" w:line="259" w:lineRule="auto"/>
            </w:pPr>
            <w:r>
              <w:rPr>
                <w:rFonts w:ascii="Calibri" w:hAnsi="Calibri" w:eastAsia="Noto Sans CJK SC"/>
                <w:b w:val="0"/>
                <w:color w:val="172F3B"/>
                <w:sz w:val="16"/>
              </w:rPr>
              <w:t>LightGBM+QRA</w:t>
            </w:r>
          </w:p>
        </w:tc>
        <w:tc>
          <w:tcPr>
            <w:tcW w:type="dxa" w:w="1911"/>
            <w:vAlign w:val="center"/>
            <w:shd w:fill="EEF4F7"/>
          </w:tcPr>
          <w:p>
            <w:pPr>
              <w:keepNext/>
              <w:spacing w:after="60" w:before="60" w:line="259" w:lineRule="auto"/>
            </w:pPr>
            <w:r>
              <w:rPr>
                <w:rFonts w:ascii="Calibri" w:hAnsi="Calibri" w:eastAsia="Noto Sans CJK SC"/>
                <w:b w:val="0"/>
                <w:color w:val="172F3B"/>
                <w:sz w:val="16"/>
              </w:rPr>
              <w:t>34.674</w:t>
            </w:r>
          </w:p>
        </w:tc>
        <w:tc>
          <w:tcPr>
            <w:tcW w:type="dxa" w:w="1911"/>
            <w:vAlign w:val="center"/>
            <w:shd w:fill="EEF4F7"/>
          </w:tcPr>
          <w:p>
            <w:pPr>
              <w:keepNext/>
              <w:spacing w:after="60" w:before="60" w:line="259" w:lineRule="auto"/>
            </w:pPr>
            <w:r>
              <w:rPr>
                <w:rFonts w:ascii="Calibri" w:hAnsi="Calibri" w:eastAsia="Noto Sans CJK SC"/>
                <w:b w:val="0"/>
                <w:color w:val="172F3B"/>
                <w:sz w:val="16"/>
              </w:rPr>
              <w:t>28.652</w:t>
            </w:r>
          </w:p>
        </w:tc>
        <w:tc>
          <w:tcPr>
            <w:tcW w:type="dxa" w:w="1911"/>
            <w:vAlign w:val="center"/>
            <w:shd w:fill="EEF4F7"/>
          </w:tcPr>
          <w:p>
            <w:pPr>
              <w:keepNext/>
              <w:spacing w:after="60" w:before="60" w:line="259" w:lineRule="auto"/>
            </w:pPr>
            <w:r>
              <w:rPr>
                <w:rFonts w:ascii="Calibri" w:hAnsi="Calibri" w:eastAsia="Noto Sans CJK SC"/>
                <w:b w:val="0"/>
                <w:color w:val="172F3B"/>
                <w:sz w:val="16"/>
              </w:rPr>
              <w:t>914.969</w:t>
            </w:r>
          </w:p>
        </w:tc>
        <w:tc>
          <w:tcPr>
            <w:tcW w:type="dxa" w:w="1911"/>
            <w:vAlign w:val="center"/>
            <w:shd w:fill="EEF4F7"/>
          </w:tcPr>
          <w:p>
            <w:pPr>
              <w:keepNext/>
              <w:spacing w:after="60" w:before="60" w:line="259" w:lineRule="auto"/>
            </w:pPr>
            <w:r>
              <w:rPr>
                <w:rFonts w:ascii="Calibri" w:hAnsi="Calibri" w:eastAsia="Noto Sans CJK SC"/>
                <w:b w:val="0"/>
                <w:color w:val="172F3B"/>
                <w:sz w:val="16"/>
              </w:rPr>
              <w:t>3323.448</w:t>
            </w:r>
          </w:p>
        </w:tc>
      </w:tr>
      <w:tr>
        <w:trPr>
          <w:cantSplit/>
        </w:trPr>
        <w:tc>
          <w:tcPr>
            <w:tcW w:type="dxa" w:w="1911"/>
            <w:vAlign w:val="center"/>
            <w:shd w:fill="FFFFFF"/>
          </w:tcPr>
          <w:p>
            <w:pPr>
              <w:keepNext/>
              <w:spacing w:after="60" w:before="60" w:line="259" w:lineRule="auto"/>
            </w:pPr>
            <w:r>
              <w:rPr>
                <w:rFonts w:ascii="Calibri" w:hAnsi="Calibri" w:eastAsia="Noto Sans CJK SC"/>
                <w:b w:val="0"/>
                <w:color w:val="172F3B"/>
                <w:sz w:val="16"/>
              </w:rPr>
              <w:t>PatchTST</w:t>
            </w:r>
          </w:p>
        </w:tc>
        <w:tc>
          <w:tcPr>
            <w:tcW w:type="dxa" w:w="1911"/>
            <w:vAlign w:val="center"/>
            <w:shd w:fill="FFFFFF"/>
          </w:tcPr>
          <w:p>
            <w:pPr>
              <w:keepNext/>
              <w:spacing w:after="60" w:before="60" w:line="259" w:lineRule="auto"/>
            </w:pPr>
            <w:r>
              <w:rPr>
                <w:rFonts w:ascii="Calibri" w:hAnsi="Calibri" w:eastAsia="Noto Sans CJK SC"/>
                <w:b w:val="0"/>
                <w:color w:val="172F3B"/>
                <w:sz w:val="16"/>
              </w:rPr>
              <w:t>35.529</w:t>
            </w:r>
          </w:p>
        </w:tc>
        <w:tc>
          <w:tcPr>
            <w:tcW w:type="dxa" w:w="1911"/>
            <w:vAlign w:val="center"/>
            <w:shd w:fill="FFFFFF"/>
          </w:tcPr>
          <w:p>
            <w:pPr>
              <w:keepNext/>
              <w:spacing w:after="60" w:before="60" w:line="259" w:lineRule="auto"/>
            </w:pPr>
            <w:r>
              <w:rPr>
                <w:rFonts w:ascii="Calibri" w:hAnsi="Calibri" w:eastAsia="Noto Sans CJK SC"/>
                <w:b w:val="0"/>
                <w:color w:val="172F3B"/>
                <w:sz w:val="16"/>
              </w:rPr>
              <w:t>31.164</w:t>
            </w:r>
          </w:p>
        </w:tc>
        <w:tc>
          <w:tcPr>
            <w:tcW w:type="dxa" w:w="1911"/>
            <w:vAlign w:val="center"/>
            <w:shd w:fill="FFFFFF"/>
          </w:tcPr>
          <w:p>
            <w:pPr>
              <w:keepNext/>
              <w:spacing w:after="60" w:before="60" w:line="259" w:lineRule="auto"/>
            </w:pPr>
            <w:r>
              <w:rPr>
                <w:rFonts w:ascii="Calibri" w:hAnsi="Calibri" w:eastAsia="Noto Sans CJK SC"/>
                <w:b w:val="0"/>
                <w:color w:val="172F3B"/>
                <w:sz w:val="16"/>
              </w:rPr>
              <w:t>961.069</w:t>
            </w:r>
          </w:p>
        </w:tc>
        <w:tc>
          <w:tcPr>
            <w:tcW w:type="dxa" w:w="1911"/>
            <w:vAlign w:val="center"/>
            <w:shd w:fill="FFFFFF"/>
          </w:tcPr>
          <w:p>
            <w:pPr>
              <w:keepNext/>
              <w:spacing w:after="60" w:before="60" w:line="259" w:lineRule="auto"/>
            </w:pPr>
            <w:r>
              <w:rPr>
                <w:rFonts w:ascii="Calibri" w:hAnsi="Calibri" w:eastAsia="Noto Sans CJK SC"/>
                <w:b w:val="0"/>
                <w:color w:val="172F3B"/>
                <w:sz w:val="16"/>
              </w:rPr>
              <w:t>3378.854</w:t>
            </w:r>
          </w:p>
        </w:tc>
      </w:tr>
      <w:tr>
        <w:trPr>
          <w:cantSplit/>
        </w:trPr>
        <w:tc>
          <w:tcPr>
            <w:tcW w:type="dxa" w:w="1911"/>
            <w:vAlign w:val="center"/>
            <w:shd w:fill="EEF4F7"/>
          </w:tcPr>
          <w:p>
            <w:pPr>
              <w:keepNext/>
              <w:spacing w:after="60" w:before="60" w:line="259" w:lineRule="auto"/>
            </w:pPr>
            <w:r>
              <w:rPr>
                <w:rFonts w:ascii="Calibri" w:hAnsi="Calibri" w:eastAsia="Noto Sans CJK SC"/>
                <w:b w:val="0"/>
                <w:color w:val="172F3B"/>
                <w:sz w:val="16"/>
              </w:rPr>
              <w:t>DLinear</w:t>
            </w:r>
          </w:p>
        </w:tc>
        <w:tc>
          <w:tcPr>
            <w:tcW w:type="dxa" w:w="1911"/>
            <w:vAlign w:val="center"/>
            <w:shd w:fill="EEF4F7"/>
          </w:tcPr>
          <w:p>
            <w:pPr>
              <w:keepNext/>
              <w:spacing w:after="60" w:before="60" w:line="259" w:lineRule="auto"/>
            </w:pPr>
            <w:r>
              <w:rPr>
                <w:rFonts w:ascii="Calibri" w:hAnsi="Calibri" w:eastAsia="Noto Sans CJK SC"/>
                <w:b w:val="0"/>
                <w:color w:val="172F3B"/>
                <w:sz w:val="16"/>
              </w:rPr>
              <w:t>40.799</w:t>
            </w:r>
          </w:p>
        </w:tc>
        <w:tc>
          <w:tcPr>
            <w:tcW w:type="dxa" w:w="1911"/>
            <w:vAlign w:val="center"/>
            <w:shd w:fill="EEF4F7"/>
          </w:tcPr>
          <w:p>
            <w:pPr>
              <w:keepNext/>
              <w:spacing w:after="60" w:before="60" w:line="259" w:lineRule="auto"/>
            </w:pPr>
            <w:r>
              <w:rPr>
                <w:rFonts w:ascii="Calibri" w:hAnsi="Calibri" w:eastAsia="Noto Sans CJK SC"/>
                <w:b w:val="0"/>
                <w:color w:val="172F3B"/>
                <w:sz w:val="16"/>
              </w:rPr>
              <w:t>33.192</w:t>
            </w:r>
          </w:p>
        </w:tc>
        <w:tc>
          <w:tcPr>
            <w:tcW w:type="dxa" w:w="1911"/>
            <w:vAlign w:val="center"/>
            <w:shd w:fill="EEF4F7"/>
          </w:tcPr>
          <w:p>
            <w:pPr>
              <w:keepNext/>
              <w:spacing w:after="60" w:before="60" w:line="259" w:lineRule="auto"/>
            </w:pPr>
            <w:r>
              <w:rPr>
                <w:rFonts w:ascii="Calibri" w:hAnsi="Calibri" w:eastAsia="Noto Sans CJK SC"/>
                <w:b w:val="0"/>
                <w:color w:val="172F3B"/>
                <w:sz w:val="16"/>
              </w:rPr>
              <w:t>956.839</w:t>
            </w:r>
          </w:p>
        </w:tc>
        <w:tc>
          <w:tcPr>
            <w:tcW w:type="dxa" w:w="1911"/>
            <w:vAlign w:val="center"/>
            <w:shd w:fill="EEF4F7"/>
          </w:tcPr>
          <w:p>
            <w:pPr>
              <w:keepNext/>
              <w:spacing w:after="60" w:before="60" w:line="259" w:lineRule="auto"/>
            </w:pPr>
            <w:r>
              <w:rPr>
                <w:rFonts w:ascii="Calibri" w:hAnsi="Calibri" w:eastAsia="Noto Sans CJK SC"/>
                <w:b w:val="0"/>
                <w:color w:val="172F3B"/>
                <w:sz w:val="16"/>
              </w:rPr>
              <w:t>3299.757</w:t>
            </w:r>
          </w:p>
        </w:tc>
      </w:tr>
      <w:tr>
        <w:trPr>
          <w:cantSplit/>
        </w:trPr>
        <w:tc>
          <w:tcPr>
            <w:tcW w:type="dxa" w:w="1911"/>
            <w:vAlign w:val="center"/>
            <w:shd w:fill="FFFFFF"/>
          </w:tcPr>
          <w:p>
            <w:pPr>
              <w:keepNext/>
              <w:spacing w:after="60" w:before="60" w:line="259" w:lineRule="auto"/>
            </w:pPr>
            <w:r>
              <w:rPr>
                <w:rFonts w:ascii="Calibri" w:hAnsi="Calibri" w:eastAsia="Noto Sans CJK SC"/>
                <w:b w:val="0"/>
                <w:color w:val="172F3B"/>
                <w:sz w:val="16"/>
              </w:rPr>
              <w:t>B_retrained</w:t>
            </w:r>
          </w:p>
        </w:tc>
        <w:tc>
          <w:tcPr>
            <w:tcW w:type="dxa" w:w="1911"/>
            <w:vAlign w:val="center"/>
            <w:shd w:fill="FFFFFF"/>
          </w:tcPr>
          <w:p>
            <w:pPr>
              <w:keepNext/>
              <w:spacing w:after="60" w:before="60" w:line="259" w:lineRule="auto"/>
            </w:pPr>
            <w:r>
              <w:rPr>
                <w:rFonts w:ascii="Calibri" w:hAnsi="Calibri" w:eastAsia="Noto Sans CJK SC"/>
                <w:b w:val="0"/>
                <w:color w:val="172F3B"/>
                <w:sz w:val="16"/>
              </w:rPr>
              <w:t>30.697</w:t>
            </w:r>
          </w:p>
        </w:tc>
        <w:tc>
          <w:tcPr>
            <w:tcW w:type="dxa" w:w="1911"/>
            <w:vAlign w:val="center"/>
            <w:shd w:fill="FFFFFF"/>
          </w:tcPr>
          <w:p>
            <w:pPr>
              <w:keepNext/>
              <w:spacing w:after="60" w:before="60" w:line="259" w:lineRule="auto"/>
            </w:pPr>
            <w:r>
              <w:rPr>
                <w:rFonts w:ascii="Calibri" w:hAnsi="Calibri" w:eastAsia="Noto Sans CJK SC"/>
                <w:b w:val="0"/>
                <w:color w:val="172F3B"/>
                <w:sz w:val="16"/>
              </w:rPr>
              <w:t>22.815</w:t>
            </w:r>
          </w:p>
        </w:tc>
        <w:tc>
          <w:tcPr>
            <w:tcW w:type="dxa" w:w="1911"/>
            <w:vAlign w:val="center"/>
            <w:shd w:fill="FFFFFF"/>
          </w:tcPr>
          <w:p>
            <w:pPr>
              <w:keepNext/>
              <w:spacing w:after="60" w:before="60" w:line="259" w:lineRule="auto"/>
            </w:pPr>
            <w:r>
              <w:rPr>
                <w:rFonts w:ascii="Calibri" w:hAnsi="Calibri" w:eastAsia="Noto Sans CJK SC"/>
                <w:b w:val="0"/>
                <w:color w:val="172F3B"/>
                <w:sz w:val="16"/>
              </w:rPr>
              <w:t>988.583</w:t>
            </w:r>
          </w:p>
        </w:tc>
        <w:tc>
          <w:tcPr>
            <w:tcW w:type="dxa" w:w="1911"/>
            <w:vAlign w:val="center"/>
            <w:shd w:fill="FFFFFF"/>
          </w:tcPr>
          <w:p>
            <w:pPr>
              <w:keepNext/>
              <w:spacing w:after="60" w:before="60" w:line="259" w:lineRule="auto"/>
            </w:pPr>
            <w:r>
              <w:rPr>
                <w:rFonts w:ascii="Calibri" w:hAnsi="Calibri" w:eastAsia="Noto Sans CJK SC"/>
                <w:b w:val="0"/>
                <w:color w:val="172F3B"/>
                <w:sz w:val="16"/>
              </w:rPr>
              <w:t>3473.076</w:t>
            </w:r>
          </w:p>
        </w:tc>
      </w:tr>
      <w:tr>
        <w:trPr>
          <w:cantSplit/>
        </w:trPr>
        <w:tc>
          <w:tcPr>
            <w:tcW w:type="dxa" w:w="1911"/>
            <w:vAlign w:val="center"/>
            <w:shd w:fill="EEF4F7"/>
          </w:tcPr>
          <w:p>
            <w:pPr>
              <w:keepNext/>
              <w:spacing w:after="60" w:before="60" w:line="259" w:lineRule="auto"/>
            </w:pPr>
            <w:r>
              <w:rPr>
                <w:rFonts w:ascii="Calibri" w:hAnsi="Calibri" w:eastAsia="Noto Sans CJK SC"/>
                <w:b w:val="0"/>
                <w:color w:val="172F3B"/>
                <w:sz w:val="16"/>
              </w:rPr>
              <w:t>Anchor_joint</w:t>
            </w:r>
          </w:p>
        </w:tc>
        <w:tc>
          <w:tcPr>
            <w:tcW w:type="dxa" w:w="1911"/>
            <w:vAlign w:val="center"/>
            <w:shd w:fill="EEF4F7"/>
          </w:tcPr>
          <w:p>
            <w:pPr>
              <w:keepNext/>
              <w:spacing w:after="60" w:before="60" w:line="259" w:lineRule="auto"/>
            </w:pPr>
            <w:r>
              <w:rPr>
                <w:rFonts w:ascii="Calibri" w:hAnsi="Calibri" w:eastAsia="Noto Sans CJK SC"/>
                <w:b w:val="0"/>
                <w:color w:val="172F3B"/>
                <w:sz w:val="16"/>
              </w:rPr>
              <w:t>29.002</w:t>
            </w:r>
          </w:p>
        </w:tc>
        <w:tc>
          <w:tcPr>
            <w:tcW w:type="dxa" w:w="1911"/>
            <w:vAlign w:val="center"/>
            <w:shd w:fill="EEF4F7"/>
          </w:tcPr>
          <w:p>
            <w:pPr>
              <w:keepNext/>
              <w:spacing w:after="60" w:before="60" w:line="259" w:lineRule="auto"/>
            </w:pPr>
            <w:r>
              <w:rPr>
                <w:rFonts w:ascii="Calibri" w:hAnsi="Calibri" w:eastAsia="Noto Sans CJK SC"/>
                <w:b w:val="0"/>
                <w:color w:val="172F3B"/>
                <w:sz w:val="16"/>
              </w:rPr>
              <w:t>23.969</w:t>
            </w:r>
          </w:p>
        </w:tc>
        <w:tc>
          <w:tcPr>
            <w:tcW w:type="dxa" w:w="1911"/>
            <w:vAlign w:val="center"/>
            <w:shd w:fill="EEF4F7"/>
          </w:tcPr>
          <w:p>
            <w:pPr>
              <w:keepNext/>
              <w:spacing w:after="60" w:before="60" w:line="259" w:lineRule="auto"/>
            </w:pPr>
            <w:r>
              <w:rPr>
                <w:rFonts w:ascii="Calibri" w:hAnsi="Calibri" w:eastAsia="Noto Sans CJK SC"/>
                <w:b w:val="0"/>
                <w:color w:val="172F3B"/>
                <w:sz w:val="16"/>
              </w:rPr>
              <w:t>970.668</w:t>
            </w:r>
          </w:p>
        </w:tc>
        <w:tc>
          <w:tcPr>
            <w:tcW w:type="dxa" w:w="1911"/>
            <w:vAlign w:val="center"/>
            <w:shd w:fill="EEF4F7"/>
          </w:tcPr>
          <w:p>
            <w:pPr>
              <w:keepNext/>
              <w:spacing w:after="60" w:before="60" w:line="259" w:lineRule="auto"/>
            </w:pPr>
            <w:r>
              <w:rPr>
                <w:rFonts w:ascii="Calibri" w:hAnsi="Calibri" w:eastAsia="Noto Sans CJK SC"/>
                <w:b w:val="0"/>
                <w:color w:val="172F3B"/>
                <w:sz w:val="16"/>
              </w:rPr>
              <w:t>3453.017</w:t>
            </w:r>
          </w:p>
        </w:tc>
      </w:tr>
      <w:tr>
        <w:trPr>
          <w:cantSplit/>
        </w:trPr>
        <w:tc>
          <w:tcPr>
            <w:tcW w:type="dxa" w:w="1911"/>
            <w:vAlign w:val="center"/>
            <w:shd w:fill="FFFFFF"/>
          </w:tcPr>
          <w:p>
            <w:pPr>
              <w:keepNext/>
              <w:spacing w:after="60" w:before="60" w:line="259" w:lineRule="auto"/>
            </w:pPr>
            <w:r>
              <w:rPr>
                <w:rFonts w:ascii="Calibri" w:hAnsi="Calibri" w:eastAsia="Noto Sans CJK SC"/>
                <w:b w:val="0"/>
                <w:color w:val="172F3B"/>
                <w:sz w:val="16"/>
              </w:rPr>
              <w:t>Full_joint</w:t>
            </w:r>
          </w:p>
        </w:tc>
        <w:tc>
          <w:tcPr>
            <w:tcW w:type="dxa" w:w="1911"/>
            <w:vAlign w:val="center"/>
            <w:shd w:fill="FFFFFF"/>
          </w:tcPr>
          <w:p>
            <w:pPr>
              <w:keepNext/>
              <w:spacing w:after="60" w:before="60" w:line="259" w:lineRule="auto"/>
            </w:pPr>
            <w:r>
              <w:rPr>
                <w:rFonts w:ascii="Calibri" w:hAnsi="Calibri" w:eastAsia="Noto Sans CJK SC"/>
                <w:b w:val="0"/>
                <w:color w:val="172F3B"/>
                <w:sz w:val="16"/>
              </w:rPr>
              <w:t>28.540</w:t>
            </w:r>
          </w:p>
        </w:tc>
        <w:tc>
          <w:tcPr>
            <w:tcW w:type="dxa" w:w="1911"/>
            <w:vAlign w:val="center"/>
            <w:shd w:fill="FFFFFF"/>
          </w:tcPr>
          <w:p>
            <w:pPr>
              <w:keepNext/>
              <w:spacing w:after="60" w:before="60" w:line="259" w:lineRule="auto"/>
            </w:pPr>
            <w:r>
              <w:rPr>
                <w:rFonts w:ascii="Calibri" w:hAnsi="Calibri" w:eastAsia="Noto Sans CJK SC"/>
                <w:b w:val="0"/>
                <w:color w:val="172F3B"/>
                <w:sz w:val="16"/>
              </w:rPr>
              <w:t>23.948</w:t>
            </w:r>
          </w:p>
        </w:tc>
        <w:tc>
          <w:tcPr>
            <w:tcW w:type="dxa" w:w="1911"/>
            <w:vAlign w:val="center"/>
            <w:shd w:fill="FFFFFF"/>
          </w:tcPr>
          <w:p>
            <w:pPr>
              <w:keepNext/>
              <w:spacing w:after="60" w:before="60" w:line="259" w:lineRule="auto"/>
            </w:pPr>
            <w:r>
              <w:rPr>
                <w:rFonts w:ascii="Calibri" w:hAnsi="Calibri" w:eastAsia="Noto Sans CJK SC"/>
                <w:b w:val="0"/>
                <w:color w:val="172F3B"/>
                <w:sz w:val="16"/>
              </w:rPr>
              <w:t>967.603</w:t>
            </w:r>
          </w:p>
        </w:tc>
        <w:tc>
          <w:tcPr>
            <w:tcW w:type="dxa" w:w="1911"/>
            <w:vAlign w:val="center"/>
            <w:shd w:fill="FFFFFF"/>
          </w:tcPr>
          <w:p>
            <w:pPr>
              <w:keepNext/>
              <w:spacing w:after="60" w:before="60" w:line="259" w:lineRule="auto"/>
            </w:pPr>
            <w:r>
              <w:rPr>
                <w:rFonts w:ascii="Calibri" w:hAnsi="Calibri" w:eastAsia="Noto Sans CJK SC"/>
                <w:b w:val="0"/>
                <w:color w:val="172F3B"/>
                <w:sz w:val="16"/>
              </w:rPr>
              <w:t>3444.268</w:t>
            </w:r>
          </w:p>
        </w:tc>
      </w:tr>
      <w:tr>
        <w:trPr>
          <w:cantSplit/>
        </w:trPr>
        <w:tc>
          <w:tcPr>
            <w:tcW w:type="dxa" w:w="1911"/>
            <w:vAlign w:val="center"/>
            <w:shd w:fill="EEF4F7"/>
          </w:tcPr>
          <w:p>
            <w:pPr>
              <w:keepNext/>
              <w:spacing w:after="60" w:before="60" w:line="259" w:lineRule="auto"/>
            </w:pPr>
            <w:r>
              <w:rPr>
                <w:rFonts w:ascii="Calibri" w:hAnsi="Calibri" w:eastAsia="Noto Sans CJK SC"/>
                <w:b w:val="0"/>
                <w:color w:val="172F3B"/>
                <w:sz w:val="16"/>
              </w:rPr>
              <w:t>关闭事件项</w:t>
            </w:r>
          </w:p>
        </w:tc>
        <w:tc>
          <w:tcPr>
            <w:tcW w:type="dxa" w:w="1911"/>
            <w:vAlign w:val="center"/>
            <w:shd w:fill="EEF4F7"/>
          </w:tcPr>
          <w:p>
            <w:pPr>
              <w:keepNext/>
              <w:spacing w:after="60" w:before="60" w:line="259" w:lineRule="auto"/>
            </w:pPr>
            <w:r>
              <w:rPr>
                <w:rFonts w:ascii="Calibri" w:hAnsi="Calibri" w:eastAsia="Noto Sans CJK SC"/>
                <w:b w:val="0"/>
                <w:color w:val="172F3B"/>
                <w:sz w:val="16"/>
              </w:rPr>
              <w:t>28.542</w:t>
            </w:r>
          </w:p>
        </w:tc>
        <w:tc>
          <w:tcPr>
            <w:tcW w:type="dxa" w:w="1911"/>
            <w:vAlign w:val="center"/>
            <w:shd w:fill="EEF4F7"/>
          </w:tcPr>
          <w:p>
            <w:pPr>
              <w:keepNext/>
              <w:spacing w:after="60" w:before="60" w:line="259" w:lineRule="auto"/>
            </w:pPr>
            <w:r>
              <w:rPr>
                <w:rFonts w:ascii="Calibri" w:hAnsi="Calibri" w:eastAsia="Noto Sans CJK SC"/>
                <w:b w:val="0"/>
                <w:color w:val="172F3B"/>
                <w:sz w:val="16"/>
              </w:rPr>
              <w:t>23.857</w:t>
            </w:r>
          </w:p>
        </w:tc>
        <w:tc>
          <w:tcPr>
            <w:tcW w:type="dxa" w:w="1911"/>
            <w:vAlign w:val="center"/>
            <w:shd w:fill="EEF4F7"/>
          </w:tcPr>
          <w:p>
            <w:pPr>
              <w:keepNext/>
              <w:spacing w:after="60" w:before="60" w:line="259" w:lineRule="auto"/>
            </w:pPr>
            <w:r>
              <w:rPr>
                <w:rFonts w:ascii="Calibri" w:hAnsi="Calibri" w:eastAsia="Noto Sans CJK SC"/>
                <w:b w:val="0"/>
                <w:color w:val="172F3B"/>
                <w:sz w:val="16"/>
              </w:rPr>
              <w:t>970.853</w:t>
            </w:r>
          </w:p>
        </w:tc>
        <w:tc>
          <w:tcPr>
            <w:tcW w:type="dxa" w:w="1911"/>
            <w:vAlign w:val="center"/>
            <w:shd w:fill="EEF4F7"/>
          </w:tcPr>
          <w:p>
            <w:pPr>
              <w:keepNext/>
              <w:spacing w:after="60" w:before="60" w:line="259" w:lineRule="auto"/>
            </w:pPr>
            <w:r>
              <w:rPr>
                <w:rFonts w:ascii="Calibri" w:hAnsi="Calibri" w:eastAsia="Noto Sans CJK SC"/>
                <w:b w:val="0"/>
                <w:color w:val="172F3B"/>
                <w:sz w:val="16"/>
              </w:rPr>
              <w:t>3453.244</w:t>
            </w:r>
          </w:p>
        </w:tc>
      </w:tr>
      <w:tr>
        <w:trPr>
          <w:cantSplit/>
        </w:trPr>
        <w:tc>
          <w:tcPr>
            <w:tcW w:type="dxa" w:w="1911"/>
            <w:vAlign w:val="center"/>
            <w:shd w:fill="FFFFFF"/>
          </w:tcPr>
          <w:p>
            <w:pPr>
              <w:spacing w:after="60" w:before="60" w:line="259" w:lineRule="auto"/>
            </w:pPr>
            <w:r>
              <w:rPr>
                <w:rFonts w:ascii="Calibri" w:hAnsi="Calibri" w:eastAsia="Noto Sans CJK SC"/>
                <w:b w:val="0"/>
                <w:color w:val="172F3B"/>
                <w:sz w:val="16"/>
              </w:rPr>
              <w:t>关闭时间移动</w:t>
            </w:r>
          </w:p>
        </w:tc>
        <w:tc>
          <w:tcPr>
            <w:tcW w:type="dxa" w:w="1911"/>
            <w:vAlign w:val="center"/>
            <w:shd w:fill="FFFFFF"/>
          </w:tcPr>
          <w:p>
            <w:pPr>
              <w:spacing w:after="60" w:before="60" w:line="259" w:lineRule="auto"/>
            </w:pPr>
            <w:r>
              <w:rPr>
                <w:rFonts w:ascii="Calibri" w:hAnsi="Calibri" w:eastAsia="Noto Sans CJK SC"/>
                <w:b w:val="0"/>
                <w:color w:val="172F3B"/>
                <w:sz w:val="16"/>
              </w:rPr>
              <w:t>28.550</w:t>
            </w:r>
          </w:p>
        </w:tc>
        <w:tc>
          <w:tcPr>
            <w:tcW w:type="dxa" w:w="1911"/>
            <w:vAlign w:val="center"/>
            <w:shd w:fill="FFFFFF"/>
          </w:tcPr>
          <w:p>
            <w:pPr>
              <w:spacing w:after="60" w:before="60" w:line="259" w:lineRule="auto"/>
            </w:pPr>
            <w:r>
              <w:rPr>
                <w:rFonts w:ascii="Calibri" w:hAnsi="Calibri" w:eastAsia="Noto Sans CJK SC"/>
                <w:b w:val="0"/>
                <w:color w:val="172F3B"/>
                <w:sz w:val="16"/>
              </w:rPr>
              <w:t>23.971</w:t>
            </w:r>
          </w:p>
        </w:tc>
        <w:tc>
          <w:tcPr>
            <w:tcW w:type="dxa" w:w="1911"/>
            <w:vAlign w:val="center"/>
            <w:shd w:fill="FFFFFF"/>
          </w:tcPr>
          <w:p>
            <w:pPr>
              <w:spacing w:after="60" w:before="60" w:line="259" w:lineRule="auto"/>
            </w:pPr>
            <w:r>
              <w:rPr>
                <w:rFonts w:ascii="Calibri" w:hAnsi="Calibri" w:eastAsia="Noto Sans CJK SC"/>
                <w:b w:val="0"/>
                <w:color w:val="172F3B"/>
                <w:sz w:val="16"/>
              </w:rPr>
              <w:t>966.239</w:t>
            </w:r>
          </w:p>
        </w:tc>
        <w:tc>
          <w:tcPr>
            <w:tcW w:type="dxa" w:w="1911"/>
            <w:vAlign w:val="center"/>
            <w:shd w:fill="FFFFFF"/>
          </w:tcPr>
          <w:p>
            <w:pPr>
              <w:spacing w:after="60" w:before="60" w:line="259" w:lineRule="auto"/>
            </w:pPr>
            <w:r>
              <w:rPr>
                <w:rFonts w:ascii="Calibri" w:hAnsi="Calibri" w:eastAsia="Noto Sans CJK SC"/>
                <w:b w:val="0"/>
                <w:color w:val="172F3B"/>
                <w:sz w:val="16"/>
              </w:rPr>
              <w:t>3440.345</w:t>
            </w:r>
          </w:p>
        </w:tc>
      </w:tr>
    </w:tbl>
    <w:p>
      <w:pPr>
        <w:spacing w:after="0"/>
      </w:pPr>
    </w:p>
    <w:p>
      <w:pPr>
        <w:pStyle w:val="Caption"/>
        <w:keepNext/>
      </w:pPr>
      <w:r>
        <w:t>表4　同一切片的五分位QS，均值，AUD/MWh；分组均为事后分析</w:t>
      </w:r>
    </w:p>
    <w:tbl>
      <w:tblPr>
        <w:tblW w:type="auto" w:w="0"/>
        <w:jc w:val="center"/>
        <w:tblLayout w:type="fixed"/>
        <w:tblLook w:firstColumn="1" w:firstRow="1" w:lastColumn="0" w:lastRow="0" w:noHBand="0" w:noVBand="1" w:val="04A0"/>
      </w:tblPr>
      <w:tblGrid>
        <w:gridCol w:w="1911"/>
        <w:gridCol w:w="1911"/>
        <w:gridCol w:w="1911"/>
        <w:gridCol w:w="1911"/>
        <w:gridCol w:w="1911"/>
      </w:tblGrid>
      <w:tr>
        <w:trPr>
          <w:cantSplit/>
          <w:tblHeader/>
        </w:trPr>
        <w:tc>
          <w:tcPr>
            <w:tcW w:type="dxa" w:w="1911"/>
            <w:vAlign w:val="center"/>
            <w:shd w:fill="143E52"/>
          </w:tcPr>
          <w:p>
            <w:pPr>
              <w:keepNext/>
              <w:spacing w:after="60" w:before="60" w:line="259" w:lineRule="auto"/>
            </w:pPr>
            <w:r>
              <w:rPr>
                <w:rFonts w:ascii="Calibri" w:hAnsi="Calibri" w:eastAsia="Noto Sans CJK SC"/>
                <w:b/>
                <w:color w:val="FFFFFF"/>
                <w:sz w:val="16"/>
              </w:rPr>
              <w:t>模型/输出</w:t>
            </w:r>
          </w:p>
        </w:tc>
        <w:tc>
          <w:tcPr>
            <w:tcW w:type="dxa" w:w="1911"/>
            <w:vAlign w:val="center"/>
            <w:shd w:fill="143E52"/>
          </w:tcPr>
          <w:p>
            <w:pPr>
              <w:keepNext/>
              <w:spacing w:after="60" w:before="60" w:line="259" w:lineRule="auto"/>
            </w:pPr>
            <w:r>
              <w:rPr>
                <w:rFonts w:ascii="Calibri" w:hAnsi="Calibri" w:eastAsia="Noto Sans CJK SC"/>
                <w:b/>
                <w:color w:val="FFFFFF"/>
                <w:sz w:val="16"/>
              </w:rPr>
              <w:t>负价 &lt;0</w:t>
            </w:r>
          </w:p>
        </w:tc>
        <w:tc>
          <w:tcPr>
            <w:tcW w:type="dxa" w:w="1911"/>
            <w:vAlign w:val="center"/>
            <w:shd w:fill="143E52"/>
          </w:tcPr>
          <w:p>
            <w:pPr>
              <w:keepNext/>
              <w:spacing w:after="60" w:before="60" w:line="259" w:lineRule="auto"/>
            </w:pPr>
            <w:r>
              <w:rPr>
                <w:rFonts w:ascii="Calibri" w:hAnsi="Calibri" w:eastAsia="Noto Sans CJK SC"/>
                <w:b/>
                <w:color w:val="FFFFFF"/>
                <w:sz w:val="16"/>
              </w:rPr>
              <w:t>常态 0–300</w:t>
            </w:r>
          </w:p>
        </w:tc>
        <w:tc>
          <w:tcPr>
            <w:tcW w:type="dxa" w:w="1911"/>
            <w:vAlign w:val="center"/>
            <w:shd w:fill="143E52"/>
          </w:tcPr>
          <w:p>
            <w:pPr>
              <w:keepNext/>
              <w:spacing w:after="60" w:before="60" w:line="259" w:lineRule="auto"/>
            </w:pPr>
            <w:r>
              <w:rPr>
                <w:rFonts w:ascii="Calibri" w:hAnsi="Calibri" w:eastAsia="Noto Sans CJK SC"/>
                <w:b/>
                <w:color w:val="FFFFFF"/>
                <w:sz w:val="16"/>
              </w:rPr>
              <w:t>高价 &gt;300</w:t>
            </w:r>
          </w:p>
        </w:tc>
        <w:tc>
          <w:tcPr>
            <w:tcW w:type="dxa" w:w="1911"/>
            <w:vAlign w:val="center"/>
            <w:shd w:fill="143E52"/>
          </w:tcPr>
          <w:p>
            <w:pPr>
              <w:keepNext/>
              <w:spacing w:after="60" w:before="60" w:line="259" w:lineRule="auto"/>
            </w:pPr>
            <w:r>
              <w:rPr>
                <w:rFonts w:ascii="Calibri" w:hAnsi="Calibri" w:eastAsia="Noto Sans CJK SC"/>
                <w:b/>
                <w:color w:val="FFFFFF"/>
                <w:sz w:val="16"/>
              </w:rPr>
              <w:t>极端 &gt;1000</w:t>
            </w:r>
          </w:p>
        </w:tc>
      </w:tr>
      <w:tr>
        <w:trPr>
          <w:cantSplit/>
        </w:trPr>
        <w:tc>
          <w:tcPr>
            <w:tcW w:type="dxa" w:w="1911"/>
            <w:vAlign w:val="center"/>
            <w:shd w:fill="EEF4F7"/>
          </w:tcPr>
          <w:p>
            <w:pPr>
              <w:keepNext/>
              <w:spacing w:after="60" w:before="60" w:line="259" w:lineRule="auto"/>
            </w:pPr>
            <w:r>
              <w:rPr>
                <w:rFonts w:ascii="Calibri" w:hAnsi="Calibri" w:eastAsia="Noto Sans CJK SC"/>
                <w:b w:val="0"/>
                <w:color w:val="172F3B"/>
                <w:sz w:val="16"/>
              </w:rPr>
              <w:t>LightGBM</w:t>
            </w:r>
          </w:p>
        </w:tc>
        <w:tc>
          <w:tcPr>
            <w:tcW w:type="dxa" w:w="1911"/>
            <w:vAlign w:val="center"/>
            <w:shd w:fill="EEF4F7"/>
          </w:tcPr>
          <w:p>
            <w:pPr>
              <w:keepNext/>
              <w:spacing w:after="60" w:before="60" w:line="259" w:lineRule="auto"/>
            </w:pPr>
            <w:r>
              <w:rPr>
                <w:rFonts w:ascii="Calibri" w:hAnsi="Calibri" w:eastAsia="Noto Sans CJK SC"/>
                <w:b w:val="0"/>
                <w:color w:val="172F3B"/>
                <w:sz w:val="16"/>
              </w:rPr>
              <w:t>18.534</w:t>
            </w:r>
          </w:p>
        </w:tc>
        <w:tc>
          <w:tcPr>
            <w:tcW w:type="dxa" w:w="1911"/>
            <w:vAlign w:val="center"/>
            <w:shd w:fill="EEF4F7"/>
          </w:tcPr>
          <w:p>
            <w:pPr>
              <w:keepNext/>
              <w:spacing w:after="60" w:before="60" w:line="259" w:lineRule="auto"/>
            </w:pPr>
            <w:r>
              <w:rPr>
                <w:rFonts w:ascii="Calibri" w:hAnsi="Calibri" w:eastAsia="Noto Sans CJK SC"/>
                <w:b w:val="0"/>
                <w:color w:val="172F3B"/>
                <w:sz w:val="16"/>
              </w:rPr>
              <w:t>12.872</w:t>
            </w:r>
          </w:p>
        </w:tc>
        <w:tc>
          <w:tcPr>
            <w:tcW w:type="dxa" w:w="1911"/>
            <w:vAlign w:val="center"/>
            <w:shd w:fill="EEF4F7"/>
          </w:tcPr>
          <w:p>
            <w:pPr>
              <w:keepNext/>
              <w:spacing w:after="60" w:before="60" w:line="259" w:lineRule="auto"/>
            </w:pPr>
            <w:r>
              <w:rPr>
                <w:rFonts w:ascii="Calibri" w:hAnsi="Calibri" w:eastAsia="Noto Sans CJK SC"/>
                <w:b w:val="0"/>
                <w:color w:val="172F3B"/>
                <w:sz w:val="16"/>
              </w:rPr>
              <w:t>808.368</w:t>
            </w:r>
          </w:p>
        </w:tc>
        <w:tc>
          <w:tcPr>
            <w:tcW w:type="dxa" w:w="1911"/>
            <w:vAlign w:val="center"/>
            <w:shd w:fill="EEF4F7"/>
          </w:tcPr>
          <w:p>
            <w:pPr>
              <w:keepNext/>
              <w:spacing w:after="60" w:before="60" w:line="259" w:lineRule="auto"/>
            </w:pPr>
            <w:r>
              <w:rPr>
                <w:rFonts w:ascii="Calibri" w:hAnsi="Calibri" w:eastAsia="Noto Sans CJK SC"/>
                <w:b w:val="0"/>
                <w:color w:val="172F3B"/>
                <w:sz w:val="16"/>
              </w:rPr>
              <w:t>2983.550</w:t>
            </w:r>
          </w:p>
        </w:tc>
      </w:tr>
      <w:tr>
        <w:trPr>
          <w:cantSplit/>
        </w:trPr>
        <w:tc>
          <w:tcPr>
            <w:tcW w:type="dxa" w:w="1911"/>
            <w:vAlign w:val="center"/>
            <w:shd w:fill="FFFFFF"/>
          </w:tcPr>
          <w:p>
            <w:pPr>
              <w:keepNext/>
              <w:spacing w:after="60" w:before="60" w:line="259" w:lineRule="auto"/>
            </w:pPr>
            <w:r>
              <w:rPr>
                <w:rFonts w:ascii="Calibri" w:hAnsi="Calibri" w:eastAsia="Noto Sans CJK SC"/>
                <w:b w:val="0"/>
                <w:color w:val="172F3B"/>
                <w:sz w:val="16"/>
              </w:rPr>
              <w:t>LightGBM+QRA</w:t>
            </w:r>
          </w:p>
        </w:tc>
        <w:tc>
          <w:tcPr>
            <w:tcW w:type="dxa" w:w="1911"/>
            <w:vAlign w:val="center"/>
            <w:shd w:fill="FFFFFF"/>
          </w:tcPr>
          <w:p>
            <w:pPr>
              <w:keepNext/>
              <w:spacing w:after="60" w:before="60" w:line="259" w:lineRule="auto"/>
            </w:pPr>
            <w:r>
              <w:rPr>
                <w:rFonts w:ascii="Calibri" w:hAnsi="Calibri" w:eastAsia="Noto Sans CJK SC"/>
                <w:b w:val="0"/>
                <w:color w:val="172F3B"/>
                <w:sz w:val="16"/>
              </w:rPr>
              <w:t>18.144</w:t>
            </w:r>
          </w:p>
        </w:tc>
        <w:tc>
          <w:tcPr>
            <w:tcW w:type="dxa" w:w="1911"/>
            <w:vAlign w:val="center"/>
            <w:shd w:fill="FFFFFF"/>
          </w:tcPr>
          <w:p>
            <w:pPr>
              <w:keepNext/>
              <w:spacing w:after="60" w:before="60" w:line="259" w:lineRule="auto"/>
            </w:pPr>
            <w:r>
              <w:rPr>
                <w:rFonts w:ascii="Calibri" w:hAnsi="Calibri" w:eastAsia="Noto Sans CJK SC"/>
                <w:b w:val="0"/>
                <w:color w:val="172F3B"/>
                <w:sz w:val="16"/>
              </w:rPr>
              <w:t>15.576</w:t>
            </w:r>
          </w:p>
        </w:tc>
        <w:tc>
          <w:tcPr>
            <w:tcW w:type="dxa" w:w="1911"/>
            <w:vAlign w:val="center"/>
            <w:shd w:fill="FFFFFF"/>
          </w:tcPr>
          <w:p>
            <w:pPr>
              <w:keepNext/>
              <w:spacing w:after="60" w:before="60" w:line="259" w:lineRule="auto"/>
            </w:pPr>
            <w:r>
              <w:rPr>
                <w:rFonts w:ascii="Calibri" w:hAnsi="Calibri" w:eastAsia="Noto Sans CJK SC"/>
                <w:b w:val="0"/>
                <w:color w:val="172F3B"/>
                <w:sz w:val="16"/>
              </w:rPr>
              <w:t>829.416</w:t>
            </w:r>
          </w:p>
        </w:tc>
        <w:tc>
          <w:tcPr>
            <w:tcW w:type="dxa" w:w="1911"/>
            <w:vAlign w:val="center"/>
            <w:shd w:fill="FFFFFF"/>
          </w:tcPr>
          <w:p>
            <w:pPr>
              <w:keepNext/>
              <w:spacing w:after="60" w:before="60" w:line="259" w:lineRule="auto"/>
            </w:pPr>
            <w:r>
              <w:rPr>
                <w:rFonts w:ascii="Calibri" w:hAnsi="Calibri" w:eastAsia="Noto Sans CJK SC"/>
                <w:b w:val="0"/>
                <w:color w:val="172F3B"/>
                <w:sz w:val="16"/>
              </w:rPr>
              <w:t>3142.094</w:t>
            </w:r>
          </w:p>
        </w:tc>
      </w:tr>
      <w:tr>
        <w:trPr>
          <w:cantSplit/>
        </w:trPr>
        <w:tc>
          <w:tcPr>
            <w:tcW w:type="dxa" w:w="1911"/>
            <w:vAlign w:val="center"/>
            <w:shd w:fill="EEF4F7"/>
          </w:tcPr>
          <w:p>
            <w:pPr>
              <w:keepNext/>
              <w:spacing w:after="60" w:before="60" w:line="259" w:lineRule="auto"/>
            </w:pPr>
            <w:r>
              <w:rPr>
                <w:rFonts w:ascii="Calibri" w:hAnsi="Calibri" w:eastAsia="Noto Sans CJK SC"/>
                <w:b w:val="0"/>
                <w:color w:val="172F3B"/>
                <w:sz w:val="16"/>
              </w:rPr>
              <w:t>PatchTST</w:t>
            </w:r>
          </w:p>
        </w:tc>
        <w:tc>
          <w:tcPr>
            <w:tcW w:type="dxa" w:w="1911"/>
            <w:vAlign w:val="center"/>
            <w:shd w:fill="EEF4F7"/>
          </w:tcPr>
          <w:p>
            <w:pPr>
              <w:keepNext/>
              <w:spacing w:after="60" w:before="60" w:line="259" w:lineRule="auto"/>
            </w:pPr>
            <w:r>
              <w:rPr>
                <w:rFonts w:ascii="Calibri" w:hAnsi="Calibri" w:eastAsia="Noto Sans CJK SC"/>
                <w:b w:val="0"/>
                <w:color w:val="172F3B"/>
                <w:sz w:val="16"/>
              </w:rPr>
              <w:t>20.091</w:t>
            </w:r>
          </w:p>
        </w:tc>
        <w:tc>
          <w:tcPr>
            <w:tcW w:type="dxa" w:w="1911"/>
            <w:vAlign w:val="center"/>
            <w:shd w:fill="EEF4F7"/>
          </w:tcPr>
          <w:p>
            <w:pPr>
              <w:keepNext/>
              <w:spacing w:after="60" w:before="60" w:line="259" w:lineRule="auto"/>
            </w:pPr>
            <w:r>
              <w:rPr>
                <w:rFonts w:ascii="Calibri" w:hAnsi="Calibri" w:eastAsia="Noto Sans CJK SC"/>
                <w:b w:val="0"/>
                <w:color w:val="172F3B"/>
                <w:sz w:val="16"/>
              </w:rPr>
              <w:t>16.058</w:t>
            </w:r>
          </w:p>
        </w:tc>
        <w:tc>
          <w:tcPr>
            <w:tcW w:type="dxa" w:w="1911"/>
            <w:vAlign w:val="center"/>
            <w:shd w:fill="EEF4F7"/>
          </w:tcPr>
          <w:p>
            <w:pPr>
              <w:keepNext/>
              <w:spacing w:after="60" w:before="60" w:line="259" w:lineRule="auto"/>
            </w:pPr>
            <w:r>
              <w:rPr>
                <w:rFonts w:ascii="Calibri" w:hAnsi="Calibri" w:eastAsia="Noto Sans CJK SC"/>
                <w:b w:val="0"/>
                <w:color w:val="172F3B"/>
                <w:sz w:val="16"/>
              </w:rPr>
              <w:t>813.418</w:t>
            </w:r>
          </w:p>
        </w:tc>
        <w:tc>
          <w:tcPr>
            <w:tcW w:type="dxa" w:w="1911"/>
            <w:vAlign w:val="center"/>
            <w:shd w:fill="EEF4F7"/>
          </w:tcPr>
          <w:p>
            <w:pPr>
              <w:keepNext/>
              <w:spacing w:after="60" w:before="60" w:line="259" w:lineRule="auto"/>
            </w:pPr>
            <w:r>
              <w:rPr>
                <w:rFonts w:ascii="Calibri" w:hAnsi="Calibri" w:eastAsia="Noto Sans CJK SC"/>
                <w:b w:val="0"/>
                <w:color w:val="172F3B"/>
                <w:sz w:val="16"/>
              </w:rPr>
              <w:t>3015.673</w:t>
            </w:r>
          </w:p>
        </w:tc>
      </w:tr>
      <w:tr>
        <w:trPr>
          <w:cantSplit/>
        </w:trPr>
        <w:tc>
          <w:tcPr>
            <w:tcW w:type="dxa" w:w="1911"/>
            <w:vAlign w:val="center"/>
            <w:shd w:fill="FFFFFF"/>
          </w:tcPr>
          <w:p>
            <w:pPr>
              <w:spacing w:after="60" w:before="60" w:line="259" w:lineRule="auto"/>
            </w:pPr>
            <w:r>
              <w:rPr>
                <w:rFonts w:ascii="Calibri" w:hAnsi="Calibri" w:eastAsia="Noto Sans CJK SC"/>
                <w:b w:val="0"/>
                <w:color w:val="172F3B"/>
                <w:sz w:val="16"/>
              </w:rPr>
              <w:t>Full_joint</w:t>
            </w:r>
          </w:p>
        </w:tc>
        <w:tc>
          <w:tcPr>
            <w:tcW w:type="dxa" w:w="1911"/>
            <w:vAlign w:val="center"/>
            <w:shd w:fill="FFFFFF"/>
          </w:tcPr>
          <w:p>
            <w:pPr>
              <w:spacing w:after="60" w:before="60" w:line="259" w:lineRule="auto"/>
            </w:pPr>
            <w:r>
              <w:rPr>
                <w:rFonts w:ascii="Calibri" w:hAnsi="Calibri" w:eastAsia="Noto Sans CJK SC"/>
                <w:b w:val="0"/>
                <w:color w:val="172F3B"/>
                <w:sz w:val="16"/>
              </w:rPr>
              <w:t>16.117</w:t>
            </w:r>
          </w:p>
        </w:tc>
        <w:tc>
          <w:tcPr>
            <w:tcW w:type="dxa" w:w="1911"/>
            <w:vAlign w:val="center"/>
            <w:shd w:fill="FFFFFF"/>
          </w:tcPr>
          <w:p>
            <w:pPr>
              <w:spacing w:after="60" w:before="60" w:line="259" w:lineRule="auto"/>
            </w:pPr>
            <w:r>
              <w:rPr>
                <w:rFonts w:ascii="Calibri" w:hAnsi="Calibri" w:eastAsia="Noto Sans CJK SC"/>
                <w:b w:val="0"/>
                <w:color w:val="172F3B"/>
                <w:sz w:val="16"/>
              </w:rPr>
              <w:t>13.020</w:t>
            </w:r>
          </w:p>
        </w:tc>
        <w:tc>
          <w:tcPr>
            <w:tcW w:type="dxa" w:w="1911"/>
            <w:vAlign w:val="center"/>
            <w:shd w:fill="FFFFFF"/>
          </w:tcPr>
          <w:p>
            <w:pPr>
              <w:spacing w:after="60" w:before="60" w:line="259" w:lineRule="auto"/>
            </w:pPr>
            <w:r>
              <w:rPr>
                <w:rFonts w:ascii="Calibri" w:hAnsi="Calibri" w:eastAsia="Noto Sans CJK SC"/>
                <w:b w:val="0"/>
                <w:color w:val="172F3B"/>
                <w:sz w:val="16"/>
              </w:rPr>
              <w:t>815.337</w:t>
            </w:r>
          </w:p>
        </w:tc>
        <w:tc>
          <w:tcPr>
            <w:tcW w:type="dxa" w:w="1911"/>
            <w:vAlign w:val="center"/>
            <w:shd w:fill="FFFFFF"/>
          </w:tcPr>
          <w:p>
            <w:pPr>
              <w:spacing w:after="60" w:before="60" w:line="259" w:lineRule="auto"/>
            </w:pPr>
            <w:r>
              <w:rPr>
                <w:rFonts w:ascii="Calibri" w:hAnsi="Calibri" w:eastAsia="Noto Sans CJK SC"/>
                <w:b w:val="0"/>
                <w:color w:val="172F3B"/>
                <w:sz w:val="16"/>
              </w:rPr>
              <w:t>3034.190</w:t>
            </w:r>
          </w:p>
        </w:tc>
      </w:tr>
    </w:tbl>
    <w:p>
      <w:pPr>
        <w:spacing w:after="0"/>
      </w:pPr>
    </w:p>
    <w:p>
      <w:pPr>
        <w:keepNext/>
      </w:pPr>
      <w:r>
        <w:drawing>
          <wp:inline xmlns:a="http://schemas.openxmlformats.org/drawingml/2006/main" xmlns:pic="http://schemas.openxmlformats.org/drawingml/2006/picture">
            <wp:extent cx="5976000" cy="2523200"/>
            <wp:docPr id="5" name="Picture 5"/>
            <wp:cNvGraphicFramePr>
              <a:graphicFrameLocks noChangeAspect="1"/>
            </wp:cNvGraphicFramePr>
            <a:graphic>
              <a:graphicData uri="http://schemas.openxmlformats.org/drawingml/2006/picture">
                <pic:pic>
                  <pic:nvPicPr>
                    <pic:cNvPr id="0" name="tail_tradeoff.png"/>
                    <pic:cNvPicPr/>
                  </pic:nvPicPr>
                  <pic:blipFill>
                    <a:blip r:embed="rId15"/>
                    <a:stretch>
                      <a:fillRect/>
                    </a:stretch>
                  </pic:blipFill>
                  <pic:spPr>
                    <a:xfrm>
                      <a:off x="0" y="0"/>
                      <a:ext cx="5976000" cy="2523200"/>
                    </a:xfrm>
                    <a:prstGeom prst="rect"/>
                  </pic:spPr>
                </pic:pic>
              </a:graphicData>
            </a:graphic>
          </wp:inline>
        </w:drawing>
      </w:r>
    </w:p>
    <w:p>
      <w:pPr>
        <w:pStyle w:val="Caption"/>
      </w:pPr>
      <w:r>
        <w:t>图5　Full_joint相对LightGBM的分层MAE变化。负值为改善，正值为退化；尖峰收益与常态代价同时存在。</w:t>
      </w:r>
    </w:p>
    <w:p>
      <w:r>
        <w:t>尖峰点误差改善尚未转化为尖峰概率预测改善：高价QS从808.368升至815.337，极端QS从2983.550升至3034.190。这与历史分支仅共同平移五分位、不能单独扩张上尾的能力边界相呼应，但尚不足以单独确定失效原因。</w:t>
      </w:r>
    </w:p>
    <w:p>
      <w:pPr>
        <w:pStyle w:val="Heading2"/>
      </w:pPr>
      <w:r>
        <w:t>5.5 结论边界</w:t>
      </w:r>
    </w:p>
    <w:p>
      <w:r>
        <w:t>本阶段的可信结论是：强树基线仍难以全面超越，联合历史校正已有局部收益，但事件机制的增量价值和跨地区稳定性尚未得到充分证实。选择期guarded规则及alpha回退只能约束选择期表现，不保证未来改善；本次Full_joint没有回退格也不是成功的充分证据。没有依赖配对时间块的显著性分析和未触碰新测试区间之前，不将小幅差异表述为统计显著提升。</w:t>
      </w:r>
    </w:p>
    <w:p>
      <w:pPr>
        <w:pStyle w:val="Heading1"/>
        <w:pageBreakBefore/>
      </w:pPr>
      <w:r>
        <w:t>6 下一步研究思路与实验安排</w:t>
      </w:r>
    </w:p>
    <w:p>
      <w:r>
        <w:t>下一阶段建议围绕“证据可靠时校正、不可靠时保持强基线”的可检验目标，先分析现有误差，再增加结构。优先确保极端时段收益、普通时段代价和区间校准同时可追溯；各项方案均应在独立开发目录冻结配置，不依据2023—2024测试排名反复选优。</w:t>
      </w:r>
    </w:p>
    <w:p>
      <w:pPr>
        <w:pStyle w:val="Heading2"/>
      </w:pPr>
      <w:r>
        <w:t>6.1 错误主要来自位置、宽度、历史补偿，还是稀有状态支持不足？</w:t>
      </w:r>
    </w:p>
    <w:p>
      <w:r>
        <w:t>优先级：P0</w:t>
      </w:r>
    </w:p>
    <w:p>
      <w:r>
        <w:t>实验设计：先复用既有预测，按地区、季度、预测步长、预测价格带与固定供需状态交叉分解；同时保留每组样本数、基线误差、校正获益/伤害、位移越过目标的比例。真实价格带仅作事后解释。</w:t>
      </w:r>
    </w:p>
    <w:p>
      <w:r>
        <w:t>实验矩阵：3地区×2开发年×3神经seed×raw/guarded；无需新训练。</w:t>
      </w:r>
    </w:p>
    <w:p>
      <w:r>
        <w:t>判断规则：若弱证据与伤害关联不能跨期稳定复现，降低该假设优先级，不修改阈值反复追逐同一批结果。</w:t>
      </w:r>
    </w:p>
    <w:p>
      <w:pPr>
        <w:pStyle w:val="Heading2"/>
      </w:pPr>
      <w:r>
        <w:t>6.2 状态约束的收益是否超过统一收缩？</w:t>
      </w:r>
    </w:p>
    <w:p>
      <w:r>
        <w:t>优先级：P1</w:t>
      </w:r>
    </w:p>
    <w:p>
      <w:r>
        <w:t>实验设计：使用已冻结的 bounded_reference、constant_evidence、state_evidence 三臂；同 seed 匹配初始化、训练顺序及20轮预算，全部选择冻结后再评估。</w:t>
      </w:r>
    </w:p>
    <w:p>
      <w:r>
        <w:t>实验矩阵：3臂×3地区×2开发折×3神经seed=54次拟合。</w:t>
      </w:r>
    </w:p>
    <w:p>
      <w:r>
        <w:t>判断规则：同时通过原宏/地区/春季及每 seed门槛；state须优于相同训练平均门值的constant，且弱组伤害减少不能仅由所有校正获益一起消失解释。当前尚未启动。</w:t>
      </w:r>
    </w:p>
    <w:p>
      <w:pPr>
        <w:pStyle w:val="Heading2"/>
      </w:pPr>
      <w:r>
        <w:t>6.3 历史事件是否具有独立预测价值，而非训练中的补偿作用？</w:t>
      </w:r>
    </w:p>
    <w:p>
      <w:r>
        <w:t>优先级：P2</w:t>
      </w:r>
    </w:p>
    <w:p>
      <w:r>
        <w:t>实验设计：另行预注册重训消融：完整、无历史、仅趋势、事件无时间移动；控制状态编码、损失、训练预算，补充最近历史/状态匹配历史对照。</w:t>
      </w:r>
    </w:p>
    <w:p>
      <w:r>
        <w:t>实验矩阵：首轮4臂×3地区×2折×1固定seed=24次；有一致证据后扩至3seed，避免直接大规模搜索。</w:t>
      </w:r>
    </w:p>
    <w:p>
      <w:r>
        <w:t>判断规则：兼顾总体MAE/QS与尖峰召回、精确率、事件发生时间偏差、强度误差；事件按唯一交付小时/连续峰段定义，避免把重叠窗口视为独立尖峰。</w:t>
      </w:r>
    </w:p>
    <w:p>
      <w:pPr>
        <w:pStyle w:val="Heading2"/>
      </w:pPr>
      <w:r>
        <w:t>6.4 位置平移是否不足以表达稀有尖峰的上尾风险？</w:t>
      </w:r>
    </w:p>
    <w:p>
      <w:r>
        <w:t>优先级：P3</w:t>
      </w:r>
    </w:p>
    <w:p>
      <w:r>
        <w:t>实验设计：在基础校正可靠后，预注册独立事件发生概率与条件幅度的两阶段候选，或只对上尾施加非负事件增量；显式约束分位单调并保留负价/普通价保护。</w:t>
      </w:r>
    </w:p>
    <w:p>
      <w:r>
        <w:t>实验矩阵：基础限幅模型、当前共同平移事件、事件概率×条件幅度/上尾增量候选；先固定一个方案，不同时搜索多个结构。</w:t>
      </w:r>
    </w:p>
    <w:p>
      <w:r>
        <w:t>判断规则：仅有极端点MAE改善不足；须同步审查上尾pinball、覆盖/宽度、误报代价和总体QS。此项为新建议，尚未实现/训练。</w:t>
      </w:r>
    </w:p>
    <w:p>
      <w:pPr>
        <w:pStyle w:val="Heading2"/>
      </w:pPr>
      <w:r>
        <w:t>6.5 效果能否推广到未用于开发的市场阶段？</w:t>
      </w:r>
    </w:p>
    <w:p>
      <w:r>
        <w:t>优先级：P4</w:t>
      </w:r>
    </w:p>
    <w:p>
      <w:r>
        <w:t>实验设计：先审计实际首次公开时间及修订版本；确定尚未用于模型开发的后续时段，冻结结构、超参、选择规则后做时间前推评估。增加按起报时间块的配对重采样，记录多次比较。</w:t>
      </w:r>
    </w:p>
    <w:p>
      <w:r>
        <w:t>实验矩阵：原3地区为主；新增时间段的可用性与未见资格先核验，不能默认2025已具备盲测资格。</w:t>
      </w:r>
    </w:p>
    <w:p>
      <w:r>
        <w:t>判断规则：2021/2022反复开发、2023/2024已诊断，只能称回顾性评价；三个神经seed不是三个独立市场样本。新增数据/信息权限必须另列。</w:t>
      </w:r>
    </w:p>
    <w:p>
      <w:pPr>
        <w:pStyle w:val="Heading2"/>
      </w:pPr>
      <w:r>
        <w:t>建议采用的阶段里程碑</w:t>
      </w:r>
    </w:p>
    <w:tbl>
      <w:tblPr>
        <w:tblW w:type="auto" w:w="0"/>
        <w:jc w:val="center"/>
        <w:tblLayout w:type="fixed"/>
        <w:tblLook w:firstColumn="1" w:firstRow="1" w:lastColumn="0" w:lastRow="0" w:noHBand="0" w:noVBand="1" w:val="04A0"/>
      </w:tblPr>
      <w:tblGrid>
        <w:gridCol w:w="850"/>
        <w:gridCol w:w="3742"/>
        <w:gridCol w:w="4762"/>
      </w:tblGrid>
      <w:tr>
        <w:trPr>
          <w:cantSplit/>
          <w:tblHeader/>
        </w:trPr>
        <w:tc>
          <w:tcPr>
            <w:tcW w:type="dxa" w:w="850"/>
            <w:vAlign w:val="center"/>
            <w:shd w:fill="143E52"/>
          </w:tcPr>
          <w:p>
            <w:pPr>
              <w:keepNext/>
              <w:spacing w:after="60" w:before="60" w:line="259" w:lineRule="auto"/>
            </w:pPr>
            <w:r>
              <w:rPr>
                <w:rFonts w:ascii="Calibri" w:hAnsi="Calibri" w:eastAsia="Noto Sans CJK SC"/>
                <w:b/>
                <w:color w:val="FFFFFF"/>
                <w:sz w:val="18"/>
              </w:rPr>
              <w:t>顺序</w:t>
            </w:r>
          </w:p>
        </w:tc>
        <w:tc>
          <w:tcPr>
            <w:tcW w:type="dxa" w:w="3742"/>
            <w:vAlign w:val="center"/>
            <w:shd w:fill="143E52"/>
          </w:tcPr>
          <w:p>
            <w:pPr>
              <w:keepNext/>
              <w:spacing w:after="60" w:before="60" w:line="259" w:lineRule="auto"/>
            </w:pPr>
            <w:r>
              <w:rPr>
                <w:rFonts w:ascii="Calibri" w:hAnsi="Calibri" w:eastAsia="Noto Sans CJK SC"/>
                <w:b/>
                <w:color w:val="FFFFFF"/>
                <w:sz w:val="18"/>
              </w:rPr>
              <w:t>交付物</w:t>
            </w:r>
          </w:p>
        </w:tc>
        <w:tc>
          <w:tcPr>
            <w:tcW w:type="dxa" w:w="4762"/>
            <w:vAlign w:val="center"/>
            <w:shd w:fill="143E52"/>
          </w:tcPr>
          <w:p>
            <w:pPr>
              <w:keepNext/>
              <w:spacing w:after="60" w:before="60" w:line="259" w:lineRule="auto"/>
            </w:pPr>
            <w:r>
              <w:rPr>
                <w:rFonts w:ascii="Calibri" w:hAnsi="Calibri" w:eastAsia="Noto Sans CJK SC"/>
                <w:b/>
                <w:color w:val="FFFFFF"/>
                <w:sz w:val="18"/>
              </w:rPr>
              <w:t>进入下一步的条件</w:t>
            </w:r>
          </w:p>
        </w:tc>
      </w:tr>
      <w:tr>
        <w:trPr>
          <w:cantSplit/>
        </w:trPr>
        <w:tc>
          <w:tcPr>
            <w:tcW w:type="dxa" w:w="850"/>
            <w:vAlign w:val="center"/>
            <w:shd w:fill="EEF4F7"/>
          </w:tcPr>
          <w:p>
            <w:pPr>
              <w:keepNext/>
              <w:spacing w:after="60" w:before="60" w:line="259" w:lineRule="auto"/>
            </w:pPr>
            <w:r>
              <w:rPr>
                <w:rFonts w:ascii="Calibri" w:hAnsi="Calibri" w:eastAsia="Noto Sans CJK SC"/>
                <w:b w:val="0"/>
                <w:color w:val="172F3B"/>
                <w:sz w:val="18"/>
              </w:rPr>
              <w:t>第一步</w:t>
            </w:r>
          </w:p>
        </w:tc>
        <w:tc>
          <w:tcPr>
            <w:tcW w:type="dxa" w:w="3742"/>
            <w:vAlign w:val="center"/>
            <w:shd w:fill="EEF4F7"/>
          </w:tcPr>
          <w:p>
            <w:pPr>
              <w:keepNext/>
              <w:spacing w:after="60" w:before="60" w:line="259" w:lineRule="auto"/>
            </w:pPr>
            <w:r>
              <w:rPr>
                <w:rFonts w:ascii="Calibri" w:hAnsi="Calibri" w:eastAsia="Noto Sans CJK SC"/>
                <w:b w:val="0"/>
                <w:color w:val="172F3B"/>
                <w:sz w:val="18"/>
              </w:rPr>
              <w:t>当前预测的分层诊断：地区×季节×步长×价格带；以日或事件为块的置信区间</w:t>
            </w:r>
          </w:p>
        </w:tc>
        <w:tc>
          <w:tcPr>
            <w:tcW w:type="dxa" w:w="4762"/>
            <w:vAlign w:val="center"/>
            <w:shd w:fill="EEF4F7"/>
          </w:tcPr>
          <w:p>
            <w:pPr>
              <w:keepNext/>
              <w:spacing w:after="60" w:before="60" w:line="259" w:lineRule="auto"/>
            </w:pPr>
            <w:r>
              <w:rPr>
                <w:rFonts w:ascii="Calibri" w:hAnsi="Calibri" w:eastAsia="Noto Sans CJK SC"/>
                <w:b w:val="0"/>
                <w:color w:val="172F3B"/>
                <w:sz w:val="18"/>
              </w:rPr>
              <w:t>确定QLD1退化来自位置、尺度、普通时段误报或事件错位，避免凭单一均值猜测</w:t>
            </w:r>
          </w:p>
        </w:tc>
      </w:tr>
      <w:tr>
        <w:trPr>
          <w:cantSplit/>
        </w:trPr>
        <w:tc>
          <w:tcPr>
            <w:tcW w:type="dxa" w:w="850"/>
            <w:vAlign w:val="center"/>
            <w:shd w:fill="FFFFFF"/>
          </w:tcPr>
          <w:p>
            <w:pPr>
              <w:keepNext/>
              <w:spacing w:after="60" w:before="60" w:line="259" w:lineRule="auto"/>
            </w:pPr>
            <w:r>
              <w:rPr>
                <w:rFonts w:ascii="Calibri" w:hAnsi="Calibri" w:eastAsia="Noto Sans CJK SC"/>
                <w:b w:val="0"/>
                <w:color w:val="172F3B"/>
                <w:sz w:val="18"/>
              </w:rPr>
              <w:t>第二步</w:t>
            </w:r>
          </w:p>
        </w:tc>
        <w:tc>
          <w:tcPr>
            <w:tcW w:type="dxa" w:w="3742"/>
            <w:vAlign w:val="center"/>
            <w:shd w:fill="FFFFFF"/>
          </w:tcPr>
          <w:p>
            <w:pPr>
              <w:keepNext/>
              <w:spacing w:after="60" w:before="60" w:line="259" w:lineRule="auto"/>
            </w:pPr>
            <w:r>
              <w:rPr>
                <w:rFonts w:ascii="Calibri" w:hAnsi="Calibri" w:eastAsia="Noto Sans CJK SC"/>
                <w:b w:val="0"/>
                <w:color w:val="172F3B"/>
                <w:sz w:val="18"/>
              </w:rPr>
              <w:t>强树基座、Anchor-only、趋势-only、事件-only、Full的独立重训对照</w:t>
            </w:r>
          </w:p>
        </w:tc>
        <w:tc>
          <w:tcPr>
            <w:tcW w:type="dxa" w:w="4762"/>
            <w:vAlign w:val="center"/>
            <w:shd w:fill="FFFFFF"/>
          </w:tcPr>
          <w:p>
            <w:pPr>
              <w:keepNext/>
              <w:spacing w:after="60" w:before="60" w:line="259" w:lineRule="auto"/>
            </w:pPr>
            <w:r>
              <w:rPr>
                <w:rFonts w:ascii="Calibri" w:hAnsi="Calibri" w:eastAsia="Noto Sans CJK SC"/>
                <w:b w:val="0"/>
                <w:color w:val="172F3B"/>
                <w:sz w:val="18"/>
              </w:rPr>
              <w:t>相同历史范围与训练预算，证明新增分支增益，保留失败结果</w:t>
            </w:r>
          </w:p>
        </w:tc>
      </w:tr>
      <w:tr>
        <w:trPr>
          <w:cantSplit/>
        </w:trPr>
        <w:tc>
          <w:tcPr>
            <w:tcW w:type="dxa" w:w="850"/>
            <w:vAlign w:val="center"/>
            <w:shd w:fill="EEF4F7"/>
          </w:tcPr>
          <w:p>
            <w:pPr>
              <w:keepNext/>
              <w:spacing w:after="60" w:before="60" w:line="259" w:lineRule="auto"/>
            </w:pPr>
            <w:r>
              <w:rPr>
                <w:rFonts w:ascii="Calibri" w:hAnsi="Calibri" w:eastAsia="Noto Sans CJK SC"/>
                <w:b w:val="0"/>
                <w:color w:val="172F3B"/>
                <w:sz w:val="18"/>
              </w:rPr>
              <w:t>第三步</w:t>
            </w:r>
          </w:p>
        </w:tc>
        <w:tc>
          <w:tcPr>
            <w:tcW w:type="dxa" w:w="3742"/>
            <w:vAlign w:val="center"/>
            <w:shd w:fill="EEF4F7"/>
          </w:tcPr>
          <w:p>
            <w:pPr>
              <w:keepNext/>
              <w:spacing w:after="60" w:before="60" w:line="259" w:lineRule="auto"/>
            </w:pPr>
            <w:r>
              <w:rPr>
                <w:rFonts w:ascii="Calibri" w:hAnsi="Calibri" w:eastAsia="Noto Sans CJK SC"/>
                <w:b w:val="0"/>
                <w:color w:val="172F3B"/>
                <w:sz w:val="18"/>
              </w:rPr>
              <w:t>机理证据门 vs 同平均收缩固定门 vs 简单限幅</w:t>
            </w:r>
          </w:p>
        </w:tc>
        <w:tc>
          <w:tcPr>
            <w:tcW w:type="dxa" w:w="4762"/>
            <w:vAlign w:val="center"/>
            <w:shd w:fill="EEF4F7"/>
          </w:tcPr>
          <w:p>
            <w:pPr>
              <w:keepNext/>
              <w:spacing w:after="60" w:before="60" w:line="259" w:lineRule="auto"/>
            </w:pPr>
            <w:r>
              <w:rPr>
                <w:rFonts w:ascii="Calibri" w:hAnsi="Calibri" w:eastAsia="Noto Sans CJK SC"/>
                <w:b w:val="0"/>
                <w:color w:val="172F3B"/>
                <w:sz w:val="18"/>
              </w:rPr>
              <w:t>验证收益来自状态证据而非单纯减小校正量；若假设不支持则停止扩展</w:t>
            </w:r>
          </w:p>
        </w:tc>
      </w:tr>
      <w:tr>
        <w:trPr>
          <w:cantSplit/>
        </w:trPr>
        <w:tc>
          <w:tcPr>
            <w:tcW w:type="dxa" w:w="850"/>
            <w:vAlign w:val="center"/>
            <w:shd w:fill="FFFFFF"/>
          </w:tcPr>
          <w:p>
            <w:pPr>
              <w:spacing w:after="60" w:before="60" w:line="259" w:lineRule="auto"/>
            </w:pPr>
            <w:r>
              <w:rPr>
                <w:rFonts w:ascii="Calibri" w:hAnsi="Calibri" w:eastAsia="Noto Sans CJK SC"/>
                <w:b w:val="0"/>
                <w:color w:val="172F3B"/>
                <w:sz w:val="18"/>
              </w:rPr>
              <w:t>第四步</w:t>
            </w:r>
          </w:p>
        </w:tc>
        <w:tc>
          <w:tcPr>
            <w:tcW w:type="dxa" w:w="3742"/>
            <w:vAlign w:val="center"/>
            <w:shd w:fill="FFFFFF"/>
          </w:tcPr>
          <w:p>
            <w:pPr>
              <w:spacing w:after="60" w:before="60" w:line="259" w:lineRule="auto"/>
            </w:pPr>
            <w:r>
              <w:rPr>
                <w:rFonts w:ascii="Calibri" w:hAnsi="Calibri" w:eastAsia="Noto Sans CJK SC"/>
                <w:b w:val="0"/>
                <w:color w:val="172F3B"/>
                <w:sz w:val="18"/>
              </w:rPr>
              <w:t>冻结后的跨年份/跨地区确认与可靠性评估</w:t>
            </w:r>
          </w:p>
        </w:tc>
        <w:tc>
          <w:tcPr>
            <w:tcW w:type="dxa" w:w="4762"/>
            <w:vAlign w:val="center"/>
            <w:shd w:fill="FFFFFF"/>
          </w:tcPr>
          <w:p>
            <w:pPr>
              <w:spacing w:after="60" w:before="60" w:line="259" w:lineRule="auto"/>
            </w:pPr>
            <w:r>
              <w:rPr>
                <w:rFonts w:ascii="Calibri" w:hAnsi="Calibri" w:eastAsia="Noto Sans CJK SC"/>
                <w:b w:val="0"/>
                <w:color w:val="172F3B"/>
                <w:sz w:val="18"/>
              </w:rPr>
              <w:t>宏MAE/QS不退化，尖峰指标改善，普通时段误差及条件覆盖不出现不可接受代价</w:t>
            </w:r>
          </w:p>
        </w:tc>
      </w:tr>
    </w:tbl>
    <w:p>
      <w:pPr>
        <w:spacing w:after="0"/>
      </w:pPr>
    </w:p>
    <w:p>
      <w:r>
        <w:t>对于尚未观察的新时间段，先冻结时间边界、尖峰阈值、候选集合、选择规则和验收标准。若现有研究已多次使用2023—2024年结果，应将其保留为回顾性参照，另留未触碰时段作确认；若暂时没有新数据，则明确只报告开发结论，不包装成独立外推能力。</w:t>
      </w:r>
    </w:p>
    <w:p>
      <w:pPr>
        <w:pStyle w:val="Heading1"/>
        <w:pageBreakBefore/>
      </w:pPr>
      <w:r>
        <w:t>参考文献</w:t>
      </w:r>
    </w:p>
    <w:p>
      <w:r>
        <w:t>以下文献编号与第1—4章对应。原论文、方法组件和官方实现引用分列；组合基线并不等同于完整复现相关比较论文。网页核对日期为2026年10月26日。</w:t>
      </w:r>
    </w:p>
    <w:p>
      <w:pPr>
        <w:keepNext/>
        <w:spacing w:after="80"/>
      </w:pPr>
      <w:r>
        <w:t>[1] Lago, Jesus; Marcjasz, Grzegorz; De Schutter, Bart; Weron, Rafał. Forecasting day-ahead electricity prices: A review of state-of-the-art algorithms, best practices and an open-access benchmark. Applied Energy, 2021, 293:116983.</w:t>
      </w:r>
    </w:p>
    <w:p>
      <w:pPr>
        <w:spacing w:after="120"/>
      </w:pPr>
      <w:hyperlink r:id="rId16">
        <w:r>
          <w:rPr>
            <w:color w:val="1E687E"/>
            <w:sz w:val="17"/>
          </w:rPr>
          <w:t>https://doi.org/10.1016/j.apenergy.2021.116983</w:t>
        </w:r>
      </w:hyperlink>
    </w:p>
    <w:p>
      <w:pPr>
        <w:keepNext/>
        <w:spacing w:after="80"/>
      </w:pPr>
      <w:r>
        <w:t>[2] Weron, Rafał. Electricity price forecasting: A review of the state-of-the-art with a look into the future. International Journal of Forecasting, 2014, 30(4):1030–1081.</w:t>
      </w:r>
    </w:p>
    <w:p>
      <w:pPr>
        <w:spacing w:after="120"/>
      </w:pPr>
      <w:hyperlink r:id="rId17">
        <w:r>
          <w:rPr>
            <w:color w:val="1E687E"/>
            <w:sz w:val="17"/>
          </w:rPr>
          <w:t>https://doi.org/10.1016/j.ijforecast.2014.08.008</w:t>
        </w:r>
      </w:hyperlink>
    </w:p>
    <w:p>
      <w:pPr>
        <w:keepNext/>
        <w:spacing w:after="80"/>
      </w:pPr>
      <w:r>
        <w:t>[3] Nowotarski, Jakub; Weron, Rafał. Recent advances in electricity price forecasting: A review of probabilistic forecasting. Renewable and Sustainable Energy Reviews, 2018, 81:1548–1568.</w:t>
      </w:r>
    </w:p>
    <w:p>
      <w:pPr>
        <w:spacing w:after="120"/>
      </w:pPr>
      <w:hyperlink r:id="rId18">
        <w:r>
          <w:rPr>
            <w:color w:val="1E687E"/>
            <w:sz w:val="17"/>
          </w:rPr>
          <w:t>https://doi.org/10.1016/j.rser.2017.05.234</w:t>
        </w:r>
      </w:hyperlink>
    </w:p>
    <w:p>
      <w:pPr>
        <w:keepNext/>
        <w:spacing w:after="80"/>
      </w:pPr>
      <w:r>
        <w:t>[4] Zhang, Wencheng; Li, Long; Qin, Huayi; Wu, Zongjuan; Li, Jing; Chen, Wanghu. DualTimesField: Rethinking Time Series as Continuous-Time Trends and Events. ICML, PMLR, 2026, 306:156544–156566.</w:t>
      </w:r>
    </w:p>
    <w:p>
      <w:pPr>
        <w:spacing w:after="120"/>
      </w:pPr>
      <w:hyperlink r:id="rId19">
        <w:r>
          <w:rPr>
            <w:color w:val="1E687E"/>
            <w:sz w:val="17"/>
          </w:rPr>
          <w:t>https://proceedings.mlr.press/v306/zhang26co.html</w:t>
        </w:r>
      </w:hyperlink>
    </w:p>
    <w:p>
      <w:pPr>
        <w:keepNext/>
        <w:spacing w:after="80"/>
      </w:pPr>
      <w:r>
        <w:t>[5] Australian Energy Market Operator (AEMO). Aggregated price and demand data. 官方数据入口，访问日期：2026-10-26.</w:t>
      </w:r>
    </w:p>
    <w:p>
      <w:pPr>
        <w:spacing w:after="120"/>
      </w:pPr>
      <w:hyperlink r:id="rId20">
        <w:r>
          <w:rPr>
            <w:color w:val="1E687E"/>
            <w:sz w:val="17"/>
          </w:rPr>
          <w:t>https://www.aemo.com.au/energy-systems/electricity/national-electricity-market-nem/data-nem/aggregated-data</w:t>
        </w:r>
      </w:hyperlink>
    </w:p>
    <w:p>
      <w:pPr>
        <w:keepNext/>
        <w:spacing w:after="80"/>
      </w:pPr>
      <w:r>
        <w:t>[6] Zeng, Ailing; Chen, Muxi; Zhang, Lei; Xu, Qiang (2023). Are Transformers Effective for Time Series Forecasting?. Proceedings of the AAAI Conference on Artificial Intelligence, 37(9), 11121–11128.</w:t>
      </w:r>
    </w:p>
    <w:p>
      <w:pPr>
        <w:spacing w:after="120"/>
      </w:pPr>
      <w:hyperlink r:id="rId21">
        <w:r>
          <w:rPr>
            <w:color w:val="1E687E"/>
            <w:sz w:val="17"/>
          </w:rPr>
          <w:t>https://doi.org/10.1609/aaai.v37i9.26317</w:t>
        </w:r>
      </w:hyperlink>
    </w:p>
    <w:p>
      <w:pPr>
        <w:keepNext/>
        <w:spacing w:after="80"/>
      </w:pPr>
      <w:r>
        <w:t>[7] Rumelhart, David E.; Hinton, Geoffrey E.; Williams, Ronald J. (1986). Learning representations by back-propagating errors. Nature, 323, 533–536.</w:t>
      </w:r>
    </w:p>
    <w:p>
      <w:pPr>
        <w:spacing w:after="120"/>
      </w:pPr>
      <w:hyperlink r:id="rId22">
        <w:r>
          <w:rPr>
            <w:color w:val="1E687E"/>
            <w:sz w:val="17"/>
          </w:rPr>
          <w:t>https://doi.org/10.1038/323533a0</w:t>
        </w:r>
      </w:hyperlink>
    </w:p>
    <w:p>
      <w:pPr>
        <w:keepNext/>
        <w:spacing w:after="80"/>
      </w:pPr>
      <w:r>
        <w:t>[8] Tibshirani, Robert (1996). Regression Shrinkage and Selection Via the Lasso. Journal of the Royal Statistical Society: Series B (Methodological), 58(1), 267–288.</w:t>
      </w:r>
    </w:p>
    <w:p>
      <w:pPr>
        <w:spacing w:after="120"/>
      </w:pPr>
      <w:hyperlink r:id="rId23">
        <w:r>
          <w:rPr>
            <w:color w:val="1E687E"/>
            <w:sz w:val="17"/>
          </w:rPr>
          <w:t>https://doi.org/10.1111/j.2517-6161.1996.tb02080.x</w:t>
        </w:r>
      </w:hyperlink>
    </w:p>
    <w:p>
      <w:pPr>
        <w:keepNext/>
        <w:spacing w:after="80"/>
      </w:pPr>
      <w:r>
        <w:t>[9] Lei, Jing; G'Sell, Max; Rinaldo, Alessandro; Tibshirani, Ryan J.; Wasserman, Larry (2018). Distribution-Free Predictive Inference for Regression. Journal of the American Statistical Association, 113(523), 1094–1111.</w:t>
      </w:r>
    </w:p>
    <w:p>
      <w:pPr>
        <w:spacing w:after="120"/>
      </w:pPr>
      <w:hyperlink r:id="rId24">
        <w:r>
          <w:rPr>
            <w:color w:val="1E687E"/>
            <w:sz w:val="17"/>
          </w:rPr>
          <w:t>https://doi.org/10.1080/01621459.2017.1307116</w:t>
        </w:r>
      </w:hyperlink>
    </w:p>
    <w:p>
      <w:pPr>
        <w:keepNext/>
        <w:spacing w:after="80"/>
      </w:pPr>
      <w:r>
        <w:t>[10] Lipiecki, Arkadiusz; Weron, Rafał (2025). PostForecasts.jl: A Julia package for probabilistic forecasting by postprocessing point predictions. SoftwareX, 31, 102200.</w:t>
      </w:r>
    </w:p>
    <w:p>
      <w:pPr>
        <w:spacing w:after="120"/>
      </w:pPr>
      <w:hyperlink r:id="rId25">
        <w:r>
          <w:rPr>
            <w:color w:val="1E687E"/>
            <w:sz w:val="17"/>
          </w:rPr>
          <w:t>https://doi.org/10.1016/j.softx.2025.102200</w:t>
        </w:r>
      </w:hyperlink>
    </w:p>
    <w:p>
      <w:pPr>
        <w:keepNext/>
        <w:spacing w:after="80"/>
      </w:pPr>
      <w:r>
        <w:t>[11] Ke, Guolin; Meng, Qi; Finley, Thomas; Wang, Taifeng; Chen, Wei; Ma, Weidong; Ye, Qiwei; Liu, Tie-Yan (2017). LightGBM: A Highly Efficient Gradient Boosting Decision Tree. Advances in Neural Information Processing Systems 30.</w:t>
      </w:r>
    </w:p>
    <w:p>
      <w:pPr>
        <w:spacing w:after="120"/>
      </w:pPr>
      <w:hyperlink r:id="rId26">
        <w:r>
          <w:rPr>
            <w:color w:val="1E687E"/>
            <w:sz w:val="17"/>
          </w:rPr>
          <w:t>https://proceedings.neurips.cc/paper_files/paper/2017/hash/6449f44a102fde848669bdd9eb6b76fa-Abstract.html</w:t>
        </w:r>
      </w:hyperlink>
    </w:p>
    <w:p>
      <w:pPr>
        <w:keepNext/>
        <w:spacing w:after="80"/>
      </w:pPr>
      <w:r>
        <w:t>[12] Chen, Tianqi; Guestrin, Carlos (2016). XGBoost: A Scalable Tree Boosting System. KDD, 785–794.</w:t>
      </w:r>
    </w:p>
    <w:p>
      <w:pPr>
        <w:spacing w:after="120"/>
      </w:pPr>
      <w:hyperlink r:id="rId27">
        <w:r>
          <w:rPr>
            <w:color w:val="1E687E"/>
            <w:sz w:val="17"/>
          </w:rPr>
          <w:t>https://doi.org/10.1145/2939672.2939785</w:t>
        </w:r>
      </w:hyperlink>
    </w:p>
    <w:p>
      <w:pPr>
        <w:keepNext/>
        <w:spacing w:after="80"/>
      </w:pPr>
      <w:r>
        <w:t>[13] Lebedev, Andreas; Das, Abhinav; Pappert, Sven; Schlüter, Stephan (2026). Analyzing Uncertainty Quantification in Statistical and Deep Learning Models for Probabilistic Electricity Price Forecasting. IEEE Access, 14, 52162–52189.</w:t>
      </w:r>
    </w:p>
    <w:p>
      <w:pPr>
        <w:spacing w:after="120"/>
      </w:pPr>
      <w:hyperlink r:id="rId28">
        <w:r>
          <w:rPr>
            <w:color w:val="1E687E"/>
            <w:sz w:val="17"/>
          </w:rPr>
          <w:t>https://doi.org/10.1109/ACCESS.2026.3672716</w:t>
        </w:r>
      </w:hyperlink>
    </w:p>
    <w:p>
      <w:pPr>
        <w:keepNext/>
        <w:spacing w:after="80"/>
      </w:pPr>
      <w:r>
        <w:t>[14] Nowotarski, Jakub; Weron, Rafał (2015). Computing electricity spot price prediction intervals using quantile regression and forecast averaging. Computational Statistics, 30(3), 791–803.</w:t>
      </w:r>
    </w:p>
    <w:p>
      <w:pPr>
        <w:spacing w:after="120"/>
      </w:pPr>
      <w:hyperlink r:id="rId29">
        <w:r>
          <w:rPr>
            <w:color w:val="1E687E"/>
            <w:sz w:val="17"/>
          </w:rPr>
          <w:t>https://doi.org/10.1007/s00180-014-0523-0</w:t>
        </w:r>
      </w:hyperlink>
    </w:p>
    <w:p>
      <w:pPr>
        <w:keepNext/>
        <w:spacing w:after="80"/>
      </w:pPr>
      <w:r>
        <w:t>[15] Nie, Yuqi; Nguyen, Nam H.; Sinthong, Phanwadee; Kalagnanam, Jayant (2023). A Time Series is Worth 64 Words: Long-term Forecasting with Transformers. ICLR.</w:t>
      </w:r>
    </w:p>
    <w:p>
      <w:pPr>
        <w:spacing w:after="120"/>
      </w:pPr>
      <w:hyperlink r:id="rId30">
        <w:r>
          <w:rPr>
            <w:color w:val="1E687E"/>
            <w:sz w:val="17"/>
          </w:rPr>
          <w:t>https://arxiv.org/abs/2211.14730</w:t>
        </w:r>
      </w:hyperlink>
    </w:p>
    <w:p>
      <w:pPr>
        <w:keepNext/>
        <w:spacing w:after="80"/>
      </w:pPr>
      <w:r>
        <w:t>[16] Kim, Taesung; Kim, Jinhee; Tae, Yunwon; Park, Cheonbok; Choi, Jang-Ho; Choo, Jaegul (2022). Reversible Instance Normalization for Accurate Time-Series Forecasting against Distribution Shift. ICLR.</w:t>
      </w:r>
    </w:p>
    <w:p>
      <w:pPr>
        <w:spacing w:after="120"/>
      </w:pPr>
      <w:hyperlink r:id="rId31">
        <w:r>
          <w:rPr>
            <w:color w:val="1E687E"/>
            <w:sz w:val="17"/>
          </w:rPr>
          <w:t>https://openreview.net/forum?id=cGDAkQo1C0p</w:t>
        </w:r>
      </w:hyperlink>
    </w:p>
    <w:p>
      <w:pPr>
        <w:keepNext/>
        <w:spacing w:after="80"/>
      </w:pPr>
      <w:r>
        <w:t>[17] Yemets, Kyrylo; Lukashchuk, Mykola; Izonin, Ivan (2025). GateTS: Versatile and Efficient Forecasting via Attention-Inspired routed Mixture-of-Experts. arXiv:2508.17515.</w:t>
      </w:r>
    </w:p>
    <w:p>
      <w:pPr>
        <w:spacing w:after="120"/>
      </w:pPr>
      <w:hyperlink r:id="rId32">
        <w:r>
          <w:rPr>
            <w:color w:val="1E687E"/>
            <w:sz w:val="17"/>
          </w:rPr>
          <w:t>https://arxiv.org/abs/2508.17515</w:t>
        </w:r>
      </w:hyperlink>
    </w:p>
    <w:p>
      <w:pPr>
        <w:keepNext/>
        <w:spacing w:after="80"/>
      </w:pPr>
      <w:r>
        <w:t>[18] Wang, Yuxuan; Wu, Haixu; Dong, Jiaxiang; Qin, Guo; Zhang, Haoran; Liu, Yong; Qiu, Yunzhong; Wang, Jianmin; Long, Mingsheng (2024). TimeXer: Empowering Transformers for Time Series Forecasting with Exogenous Variables. Advances in Neural Information Processing Systems 37, 469–498.</w:t>
      </w:r>
    </w:p>
    <w:p>
      <w:pPr>
        <w:spacing w:after="120"/>
      </w:pPr>
      <w:hyperlink r:id="rId33">
        <w:r>
          <w:rPr>
            <w:color w:val="1E687E"/>
            <w:sz w:val="17"/>
          </w:rPr>
          <w:t>https://proceedings.neurips.cc/paper_files/paper/2024/hash/0113ef4642264adc2e6924a3cbbdf532-Abstract-Conference.html</w:t>
        </w:r>
      </w:hyperlink>
    </w:p>
    <w:p>
      <w:pPr>
        <w:keepNext/>
        <w:spacing w:after="80"/>
      </w:pPr>
      <w:r>
        <w:t>[19] Yu, Runyao; Gu, Chenhui; Stiasny, Jochen; Wen, Qingsong; Dilov, Wasim Sarwar; Qi, Lianlian; Cremer, Jochen L. (2025). PriceFM: Foundation Model for Probabilistic Electricity Price Forecasting. arXiv:2508.04875 (v4 revised 2026).</w:t>
      </w:r>
    </w:p>
    <w:p>
      <w:pPr>
        <w:spacing w:after="120"/>
      </w:pPr>
      <w:hyperlink r:id="rId34">
        <w:r>
          <w:rPr>
            <w:color w:val="1E687E"/>
            <w:sz w:val="17"/>
          </w:rPr>
          <w:t>https://arxiv.org/abs/2508.04875</w:t>
        </w:r>
      </w:hyperlink>
    </w:p>
    <w:p>
      <w:pPr>
        <w:keepNext/>
        <w:spacing w:after="80"/>
      </w:pPr>
      <w:r>
        <w:t>[20] Marcjasz, Grzegorz; Narajewski, Michał; Weron, Rafał; Ziel, Florian (2023). Distributional neural networks for electricity price forecasting. Energy Economics, 125, 106843.</w:t>
      </w:r>
    </w:p>
    <w:p>
      <w:pPr>
        <w:spacing w:after="120"/>
      </w:pPr>
      <w:hyperlink r:id="rId35">
        <w:r>
          <w:rPr>
            <w:color w:val="1E687E"/>
            <w:sz w:val="17"/>
          </w:rPr>
          <w:t>https://doi.org/10.1016/j.eneco.2023.106843</w:t>
        </w:r>
      </w:hyperlink>
    </w:p>
    <w:p>
      <w:pPr>
        <w:keepNext/>
        <w:spacing w:after="80"/>
      </w:pPr>
      <w:r>
        <w:t>[21] Challu, Cristian; Olivares, Kin G.; Oreshkin, Boris N.; Garza Ramirez, Federico; Mergenthaler Canseco, Max; Dubrawski, Artur (2023). NHITS: Neural Hierarchical Interpolation for Time Series Forecasting. Proceedings of the AAAI Conference on Artificial Intelligence, 37(6), 6989–6997.</w:t>
      </w:r>
    </w:p>
    <w:p>
      <w:pPr>
        <w:spacing w:after="120"/>
      </w:pPr>
      <w:hyperlink r:id="rId36">
        <w:r>
          <w:rPr>
            <w:color w:val="1E687E"/>
            <w:sz w:val="17"/>
          </w:rPr>
          <w:t>https://doi.org/10.1609/aaai.v37i6.25854</w:t>
        </w:r>
      </w:hyperlink>
    </w:p>
    <w:p>
      <w:pPr>
        <w:keepNext/>
        <w:spacing w:after="80"/>
      </w:pPr>
      <w:r>
        <w:t>[22] Gal, Yarin; Ghahramani, Zoubin (2016). Dropout as a Bayesian Approximation: Representing Model Uncertainty in Deep Learning. ICML, PMLR 48, 1050–1059.</w:t>
      </w:r>
    </w:p>
    <w:p>
      <w:pPr>
        <w:spacing w:after="120"/>
      </w:pPr>
      <w:hyperlink r:id="rId37">
        <w:r>
          <w:rPr>
            <w:color w:val="1E687E"/>
            <w:sz w:val="17"/>
          </w:rPr>
          <w:t>https://proceedings.mlr.press/v48/gal16.html</w:t>
        </w:r>
      </w:hyperlink>
    </w:p>
    <w:p>
      <w:pPr>
        <w:keepNext/>
        <w:spacing w:after="80"/>
      </w:pPr>
      <w:r>
        <w:t>[23] Lettner, Jan Niklas; El Ashhab, Hadeer; Hagenmeyer, Veit; Schäfer, Benjamin (2026). Assessing the Performance-Efficiency Trade-off of Foundation Models in Probabilistic Electricity Price Forecasting. arXiv:2604.14739.</w:t>
      </w:r>
    </w:p>
    <w:p>
      <w:pPr>
        <w:spacing w:after="120"/>
      </w:pPr>
      <w:hyperlink r:id="rId38">
        <w:r>
          <w:rPr>
            <w:color w:val="1E687E"/>
            <w:sz w:val="17"/>
          </w:rPr>
          <w:t>https://arxiv.org/abs/2604.14739</w:t>
        </w:r>
      </w:hyperlink>
    </w:p>
    <w:p>
      <w:pPr>
        <w:keepNext/>
        <w:spacing w:after="80"/>
      </w:pPr>
      <w:r>
        <w:t>[24] Lettner, Jan Niklas; El Ashhab, Hadeer; Schäfer, Benjamin (2026). Investigating Calibration Challenges in Probabilistic Electricity Price Forecasting. Proceedings of the 2026 ACM Sustainability Week, 565–566.</w:t>
      </w:r>
    </w:p>
    <w:p>
      <w:pPr>
        <w:spacing w:after="120"/>
      </w:pPr>
      <w:hyperlink r:id="rId39">
        <w:r>
          <w:rPr>
            <w:color w:val="1E687E"/>
            <w:sz w:val="17"/>
          </w:rPr>
          <w:t>https://doi.org/10.1145/3765611.3815392</w:t>
        </w:r>
      </w:hyperlink>
    </w:p>
    <w:p>
      <w:pPr>
        <w:keepNext/>
        <w:spacing w:after="80"/>
      </w:pPr>
      <w:r>
        <w:t>[25] Grinsztajn, Léo; Flöge, Klemens; Key, Oscar; et al. (2026). TabPFN-3: Technical Report. arXiv:2605.13986v2.</w:t>
      </w:r>
    </w:p>
    <w:p>
      <w:pPr>
        <w:spacing w:after="120"/>
      </w:pPr>
      <w:hyperlink r:id="rId40">
        <w:r>
          <w:rPr>
            <w:color w:val="1E687E"/>
            <w:sz w:val="17"/>
          </w:rPr>
          <w:t>https://arxiv.org/abs/2605.13986</w:t>
        </w:r>
      </w:hyperlink>
    </w:p>
    <w:p>
      <w:pPr>
        <w:keepNext/>
        <w:spacing w:after="80"/>
      </w:pPr>
      <w:r>
        <w:t>[26] Hollmann, Noah; Müller, Samuel; Purucker, Lennart; Krishnakumar, Arjun; Körfer, Max; Hoo, Shi Bin; Schirrmeister, Robin Tibor; Hutter, Frank (2025). Accurate predictions on small data with a tabular foundation model. Nature, 637, 319–326.</w:t>
      </w:r>
    </w:p>
    <w:p>
      <w:pPr>
        <w:spacing w:after="120"/>
      </w:pPr>
      <w:hyperlink r:id="rId41">
        <w:r>
          <w:rPr>
            <w:color w:val="1E687E"/>
            <w:sz w:val="17"/>
          </w:rPr>
          <w:t>https://www.nature.com/articles/s41586-024-08328-6</w:t>
        </w:r>
      </w:hyperlink>
    </w:p>
    <w:p>
      <w:pPr>
        <w:keepNext/>
        <w:spacing w:after="80"/>
      </w:pPr>
      <w:r>
        <w:t>[27] Ansari, Abdul Fatir; Shchur, Oleksandr; Küken, Jaris; et al. (2025). Chronos-2: From Univariate to Universal Forecasting. arXiv:2510.15821.</w:t>
      </w:r>
    </w:p>
    <w:p>
      <w:pPr>
        <w:spacing w:after="120"/>
      </w:pPr>
      <w:hyperlink r:id="rId42">
        <w:r>
          <w:rPr>
            <w:color w:val="1E687E"/>
            <w:sz w:val="17"/>
          </w:rPr>
          <w:t>https://arxiv.org/abs/2510.15821</w:t>
        </w:r>
      </w:hyperlink>
    </w:p>
    <w:p>
      <w:pPr>
        <w:keepNext/>
        <w:spacing w:after="80"/>
      </w:pPr>
      <w:r>
        <w:t>[28] Liu, Chenghao; Aksu, Taha; Liu, Juncheng; Liu, Xu; Yan, Hanshu; Pham, Quang; Savarese, Silvio; Sahoo, Doyen; Xiong, Caiming; Li, Junnan (2025; revised 2026). Moirai 2.0: When Less Is More for Time Series Forecasting. arXiv:2511.11698v3.</w:t>
      </w:r>
    </w:p>
    <w:p>
      <w:pPr>
        <w:spacing w:after="120"/>
      </w:pPr>
      <w:hyperlink r:id="rId43">
        <w:r>
          <w:rPr>
            <w:color w:val="1E687E"/>
            <w:sz w:val="17"/>
          </w:rPr>
          <w:t>https://arxiv.org/abs/2511.11698</w:t>
        </w:r>
      </w:hyperlink>
    </w:p>
    <w:p>
      <w:pPr>
        <w:keepNext/>
        <w:spacing w:after="80"/>
      </w:pPr>
      <w:r>
        <w:t>[29] Das, Abhimanyu; Kong, Weihao; Sen, Rajat; Zhou, Yichen (2024). A decoder-only foundation model for time-series forecasting. Proceedings of the 41st International Conference on Machine Learning, PMLR 235, 10148–10167.</w:t>
      </w:r>
    </w:p>
    <w:p>
      <w:pPr>
        <w:spacing w:after="120"/>
      </w:pPr>
      <w:hyperlink r:id="rId44">
        <w:r>
          <w:rPr>
            <w:color w:val="1E687E"/>
            <w:sz w:val="17"/>
          </w:rPr>
          <w:t>https://proceedings.mlr.press/v235/das24c.html</w:t>
        </w:r>
      </w:hyperlink>
    </w:p>
    <w:p>
      <w:pPr>
        <w:pStyle w:val="Heading1"/>
        <w:pageBreakBefore/>
      </w:pPr>
      <w:r>
        <w:t>附录A 文献与实验来源说明</w:t>
      </w:r>
    </w:p>
    <w:p>
      <w:r>
        <w:t>本地将作者写为 Prior Labs、标题写为 Machine Learning with Zero Hyperparameter Tuning；arXiv 实际题为 TabPFN-3: Technical Report，首作者 Léo Grinsztajn。报告纠正，repo未修改。</w:t>
      </w:r>
    </w:p>
    <w:p>
      <w:r>
        <w:t>本地 V2 谱系引用的作者及卷页有误；按 Nature 正式页更正为 Hollmann 等8位作者，637:319–326；此文不是V3检查点主引用。</w:t>
      </w:r>
    </w:p>
    <w:p>
      <w:r>
        <w:t>本地 Amazon 公司署名和 Agentic Era 标题不是所链接论文元数据；更正为 Ansari 等，Chronos-2: From Univariate to Universal Forecasting。</w:t>
      </w:r>
    </w:p>
    <w:p>
      <w:r>
        <w:t>本地 Woo 等作者和 Unified Training 标题均与 arXiv:2511.11698 不符；更正为 Chenghao Liu 等，Moirai 2.0: When Less Is More for Time Series Forecasting。仅保留旧key便于追溯。</w:t>
      </w:r>
    </w:p>
    <w:p>
      <w:r>
        <w:t>本地ICML论文作者列有误；正式出版页为 Abhimanyu Das、Weihao Kong、Rajat Sen、Yichen Zhou。2.5版本另以官方模型卡为证。</w:t>
      </w:r>
    </w:p>
    <w:p>
      <w:r>
        <w:t>正文结果直接取自当前主表，早期paper/manuscript中季度重训、价格下界、截帽或seed平均预测的成绩不混入本报告正式表。Informer/iTransformer保留于历史代码，但不在当前已完成19基线中；它们没有被作为现行主表缺失项补造数值。</w:t>
      </w:r>
    </w:p>
    <w:p>
      <w:r>
        <w:t>19个基线与引用索引：forecasting/CITATIONS.md</w:t>
      </w:r>
    </w:p>
    <w:p>
      <w:r>
        <w:t>模型身份、实现入口与当前版本：forecasting/README.md</w:t>
      </w:r>
    </w:p>
    <w:p>
      <w:r>
        <w:t>当前Full_joint冻结协议：docs/v5_latest_aligned_20261023.md</w:t>
      </w:r>
    </w:p>
    <w:p>
      <w:r>
        <w:t>25个输出的正式宏平均主表：logs/forecasting/main_comparison_20261023/main.csv</w:t>
      </w:r>
    </w:p>
    <w:p>
      <w:r>
        <w:t>三地区结果：logs/forecasting/main_comparison_20261023/regional.csv</w:t>
      </w:r>
    </w:p>
    <w:p>
      <w:r>
        <w:t>来源预测、评分和完整性核验：logs/forecasting/main_comparison_20261023/verification.json</w:t>
      </w:r>
    </w:p>
    <w:p>
      <w:r>
        <w:t>校正稳健性开发实验：logs/forecasting/v5_calibration_robustness_20261023/README.md</w:t>
      </w:r>
    </w:p>
    <w:p>
      <w:r>
        <w:t>机理状态诊断与短流程：logs/forecasting/v5_mechanism_state_20261023/README.md</w:t>
      </w:r>
    </w:p>
    <w:p>
      <w:r>
        <w:t>数据可用性、TimesFM与TabPFN维护：logs/forecasting/baseline_maintenance_20261024/README.md</w:t>
      </w:r>
    </w:p>
    <w:p>
      <w:r>
        <w:t>上述路径均相对于工作区 /root/workspace/Code/DualTimesField。报告配套目录保存编制脚本、图表、机器可读方法说明与结果审计，可追踪每个结论。</w:t>
      </w:r>
    </w:p>
    <w:p>
      <w:pPr>
        <w:pStyle w:val="Heading1"/>
      </w:pPr>
      <w:r>
        <w:t>附录B 历史结构对照（同测试评分，非当前方法）</w:t>
      </w:r>
    </w:p>
    <w:tbl>
      <w:tblPr>
        <w:tblW w:type="auto" w:w="0"/>
        <w:jc w:val="center"/>
        <w:tblLayout w:type="fixed"/>
        <w:tblLook w:firstColumn="1" w:firstRow="1" w:lastColumn="0" w:lastRow="0" w:noHBand="0" w:noVBand="1" w:val="04A0"/>
      </w:tblPr>
      <w:tblGrid>
        <w:gridCol w:w="2835"/>
        <w:gridCol w:w="2268"/>
        <w:gridCol w:w="2268"/>
        <w:gridCol w:w="1984"/>
      </w:tblGrid>
      <w:tr>
        <w:trPr>
          <w:cantSplit/>
          <w:tblHeader/>
        </w:trPr>
        <w:tc>
          <w:tcPr>
            <w:tcW w:type="dxa" w:w="2835"/>
            <w:vAlign w:val="center"/>
            <w:shd w:fill="143E52"/>
          </w:tcPr>
          <w:p>
            <w:pPr>
              <w:keepNext/>
              <w:spacing w:after="60" w:before="60" w:line="259" w:lineRule="auto"/>
            </w:pPr>
            <w:r>
              <w:rPr>
                <w:rFonts w:ascii="Calibri" w:hAnsi="Calibri" w:eastAsia="Noto Sans CJK SC"/>
                <w:b/>
                <w:color w:val="FFFFFF"/>
                <w:sz w:val="17"/>
              </w:rPr>
              <w:t>历史模型</w:t>
            </w:r>
          </w:p>
        </w:tc>
        <w:tc>
          <w:tcPr>
            <w:tcW w:type="dxa" w:w="2268"/>
            <w:vAlign w:val="center"/>
            <w:shd w:fill="143E52"/>
          </w:tcPr>
          <w:p>
            <w:pPr>
              <w:keepNext/>
              <w:spacing w:after="60" w:before="60" w:line="259" w:lineRule="auto"/>
            </w:pPr>
            <w:r>
              <w:rPr>
                <w:rFonts w:ascii="Calibri" w:hAnsi="Calibri" w:eastAsia="Noto Sans CJK SC"/>
                <w:b/>
                <w:color w:val="FFFFFF"/>
                <w:sz w:val="17"/>
              </w:rPr>
              <w:t>MAE</w:t>
            </w:r>
          </w:p>
        </w:tc>
        <w:tc>
          <w:tcPr>
            <w:tcW w:type="dxa" w:w="2268"/>
            <w:vAlign w:val="center"/>
            <w:shd w:fill="143E52"/>
          </w:tcPr>
          <w:p>
            <w:pPr>
              <w:keepNext/>
              <w:spacing w:after="60" w:before="60" w:line="259" w:lineRule="auto"/>
            </w:pPr>
            <w:r>
              <w:rPr>
                <w:rFonts w:ascii="Calibri" w:hAnsi="Calibri" w:eastAsia="Noto Sans CJK SC"/>
                <w:b/>
                <w:color w:val="FFFFFF"/>
                <w:sz w:val="17"/>
              </w:rPr>
              <w:t>QS</w:t>
            </w:r>
          </w:p>
        </w:tc>
        <w:tc>
          <w:tcPr>
            <w:tcW w:type="dxa" w:w="1984"/>
            <w:vAlign w:val="center"/>
            <w:shd w:fill="143E52"/>
          </w:tcPr>
          <w:p>
            <w:pPr>
              <w:keepNext/>
              <w:spacing w:after="60" w:before="60" w:line="259" w:lineRule="auto"/>
            </w:pPr>
            <w:r>
              <w:rPr>
                <w:rFonts w:ascii="Calibri" w:hAnsi="Calibri" w:eastAsia="Noto Sans CJK SC"/>
                <w:b/>
                <w:color w:val="FFFFFF"/>
                <w:sz w:val="17"/>
              </w:rPr>
              <w:t>RMSE</w:t>
            </w:r>
          </w:p>
        </w:tc>
      </w:tr>
      <w:tr>
        <w:trPr>
          <w:cantSplit/>
        </w:trPr>
        <w:tc>
          <w:tcPr>
            <w:tcW w:type="dxa" w:w="2835"/>
            <w:vAlign w:val="center"/>
            <w:shd w:fill="EEF4F7"/>
          </w:tcPr>
          <w:p>
            <w:pPr>
              <w:keepNext/>
              <w:spacing w:after="60" w:before="60" w:line="259" w:lineRule="auto"/>
            </w:pPr>
            <w:r>
              <w:rPr>
                <w:rFonts w:ascii="Calibri" w:hAnsi="Calibri" w:eastAsia="Noto Sans CJK SC"/>
                <w:b w:val="0"/>
                <w:color w:val="172F3B"/>
                <w:sz w:val="17"/>
              </w:rPr>
              <w:t>baseline_no_fields</w:t>
            </w:r>
          </w:p>
        </w:tc>
        <w:tc>
          <w:tcPr>
            <w:tcW w:type="dxa" w:w="2268"/>
            <w:vAlign w:val="center"/>
            <w:shd w:fill="EEF4F7"/>
          </w:tcPr>
          <w:p>
            <w:pPr>
              <w:keepNext/>
              <w:spacing w:after="60" w:before="60" w:line="259" w:lineRule="auto"/>
            </w:pPr>
            <w:r>
              <w:rPr>
                <w:rFonts w:ascii="Calibri" w:hAnsi="Calibri" w:eastAsia="Noto Sans CJK SC"/>
                <w:b w:val="0"/>
                <w:color w:val="172F3B"/>
                <w:sz w:val="17"/>
              </w:rPr>
              <w:t>47.224 ± 0.503</w:t>
            </w:r>
          </w:p>
        </w:tc>
        <w:tc>
          <w:tcPr>
            <w:tcW w:type="dxa" w:w="2268"/>
            <w:vAlign w:val="center"/>
            <w:shd w:fill="EEF4F7"/>
          </w:tcPr>
          <w:p>
            <w:pPr>
              <w:keepNext/>
              <w:spacing w:after="60" w:before="60" w:line="259" w:lineRule="auto"/>
            </w:pPr>
            <w:r>
              <w:rPr>
                <w:rFonts w:ascii="Calibri" w:hAnsi="Calibri" w:eastAsia="Noto Sans CJK SC"/>
                <w:b w:val="0"/>
                <w:color w:val="172F3B"/>
                <w:sz w:val="17"/>
              </w:rPr>
              <w:t>28.488 ± 0.678</w:t>
            </w:r>
          </w:p>
        </w:tc>
        <w:tc>
          <w:tcPr>
            <w:tcW w:type="dxa" w:w="1984"/>
            <w:vAlign w:val="center"/>
            <w:shd w:fill="EEF4F7"/>
          </w:tcPr>
          <w:p>
            <w:pPr>
              <w:keepNext/>
              <w:spacing w:after="60" w:before="60" w:line="259" w:lineRule="auto"/>
            </w:pPr>
            <w:r>
              <w:rPr>
                <w:rFonts w:ascii="Calibri" w:hAnsi="Calibri" w:eastAsia="Noto Sans CJK SC"/>
                <w:b w:val="0"/>
                <w:color w:val="172F3B"/>
                <w:sz w:val="17"/>
              </w:rPr>
              <w:t>268.460</w:t>
            </w:r>
          </w:p>
        </w:tc>
      </w:tr>
      <w:tr>
        <w:trPr>
          <w:cantSplit/>
        </w:trPr>
        <w:tc>
          <w:tcPr>
            <w:tcW w:type="dxa" w:w="2835"/>
            <w:vAlign w:val="center"/>
            <w:shd w:fill="FFFFFF"/>
          </w:tcPr>
          <w:p>
            <w:pPr>
              <w:spacing w:after="60" w:before="60" w:line="259" w:lineRule="auto"/>
            </w:pPr>
            <w:r>
              <w:rPr>
                <w:rFonts w:ascii="Calibri" w:hAnsi="Calibri" w:eastAsia="Noto Sans CJK SC"/>
                <w:b w:val="0"/>
                <w:color w:val="172F3B"/>
                <w:sz w:val="17"/>
              </w:rPr>
              <w:t>baseline_full</w:t>
            </w:r>
          </w:p>
        </w:tc>
        <w:tc>
          <w:tcPr>
            <w:tcW w:type="dxa" w:w="2268"/>
            <w:vAlign w:val="center"/>
            <w:shd w:fill="FFFFFF"/>
          </w:tcPr>
          <w:p>
            <w:pPr>
              <w:spacing w:after="60" w:before="60" w:line="259" w:lineRule="auto"/>
            </w:pPr>
            <w:r>
              <w:rPr>
                <w:rFonts w:ascii="Calibri" w:hAnsi="Calibri" w:eastAsia="Noto Sans CJK SC"/>
                <w:b w:val="0"/>
                <w:color w:val="172F3B"/>
                <w:sz w:val="17"/>
              </w:rPr>
              <w:t>48.464 ± 0.645</w:t>
            </w:r>
          </w:p>
        </w:tc>
        <w:tc>
          <w:tcPr>
            <w:tcW w:type="dxa" w:w="2268"/>
            <w:vAlign w:val="center"/>
            <w:shd w:fill="FFFFFF"/>
          </w:tcPr>
          <w:p>
            <w:pPr>
              <w:spacing w:after="60" w:before="60" w:line="259" w:lineRule="auto"/>
            </w:pPr>
            <w:r>
              <w:rPr>
                <w:rFonts w:ascii="Calibri" w:hAnsi="Calibri" w:eastAsia="Noto Sans CJK SC"/>
                <w:b w:val="0"/>
                <w:color w:val="172F3B"/>
                <w:sz w:val="17"/>
              </w:rPr>
              <w:t>28.506 ± 0.211</w:t>
            </w:r>
          </w:p>
        </w:tc>
        <w:tc>
          <w:tcPr>
            <w:tcW w:type="dxa" w:w="1984"/>
            <w:vAlign w:val="center"/>
            <w:shd w:fill="FFFFFF"/>
          </w:tcPr>
          <w:p>
            <w:pPr>
              <w:spacing w:after="60" w:before="60" w:line="259" w:lineRule="auto"/>
            </w:pPr>
            <w:r>
              <w:rPr>
                <w:rFonts w:ascii="Calibri" w:hAnsi="Calibri" w:eastAsia="Noto Sans CJK SC"/>
                <w:b w:val="0"/>
                <w:color w:val="172F3B"/>
                <w:sz w:val="17"/>
              </w:rPr>
              <w:t>271.053</w:t>
            </w:r>
          </w:p>
        </w:tc>
      </w:tr>
    </w:tbl>
    <w:p>
      <w:pPr>
        <w:spacing w:after="0"/>
      </w:pPr>
    </w:p>
    <w:p>
      <w:r>
        <w:t>这些行记录旧静态Full/no_fields的结构效果，不能替代新版Full_joint。历史版本、开发年份和最终测试具有各自用途；本报告统一保留其身份，以便阶段评审判断研究迭代是否获得实质进展。</w:t>
      </w:r>
    </w:p>
    <w:p>
      <w:pPr>
        <w:pStyle w:val="Heading1"/>
        <w:pageBreakBefore/>
      </w:pPr>
      <w:r>
        <w:t>附录C 全部输出的尖峰分层MAE</w:t>
      </w:r>
    </w:p>
    <w:p>
      <w:r>
        <w:t>本报告新增事后诊断；各地区先评分、等权宏平均后对seed平均。高价与极端分组重叠。完整标准差、QS、偏差和覆盖率保存在latest_spike_diagnostics_macro.csv。</w:t>
      </w:r>
    </w:p>
    <w:tbl>
      <w:tblPr>
        <w:tblW w:type="auto" w:w="0"/>
        <w:jc w:val="center"/>
        <w:tblLayout w:type="fixed"/>
        <w:tblLook w:firstColumn="1" w:firstRow="1" w:lastColumn="0" w:lastRow="0" w:noHBand="0" w:noVBand="1" w:val="04A0"/>
      </w:tblPr>
      <w:tblGrid>
        <w:gridCol w:w="2891"/>
        <w:gridCol w:w="1616"/>
        <w:gridCol w:w="1616"/>
        <w:gridCol w:w="1616"/>
        <w:gridCol w:w="1616"/>
      </w:tblGrid>
      <w:tr>
        <w:trPr>
          <w:cantSplit/>
          <w:tblHeader/>
        </w:trPr>
        <w:tc>
          <w:tcPr>
            <w:tcW w:type="dxa" w:w="2891"/>
            <w:vAlign w:val="center"/>
            <w:shd w:fill="143E52"/>
          </w:tcPr>
          <w:p>
            <w:pPr>
              <w:spacing w:after="60" w:before="60" w:line="259" w:lineRule="auto"/>
            </w:pPr>
            <w:r>
              <w:rPr>
                <w:rFonts w:ascii="Calibri" w:hAnsi="Calibri" w:eastAsia="Noto Sans CJK SC"/>
                <w:b/>
                <w:color w:val="FFFFFF"/>
                <w:sz w:val="16"/>
              </w:rPr>
              <w:t>模型/输出</w:t>
            </w:r>
          </w:p>
        </w:tc>
        <w:tc>
          <w:tcPr>
            <w:tcW w:type="dxa" w:w="1616"/>
            <w:vAlign w:val="center"/>
            <w:shd w:fill="143E52"/>
          </w:tcPr>
          <w:p>
            <w:pPr>
              <w:spacing w:after="60" w:before="60" w:line="259" w:lineRule="auto"/>
            </w:pPr>
            <w:r>
              <w:rPr>
                <w:rFonts w:ascii="Calibri" w:hAnsi="Calibri" w:eastAsia="Noto Sans CJK SC"/>
                <w:b/>
                <w:color w:val="FFFFFF"/>
                <w:sz w:val="16"/>
              </w:rPr>
              <w:t>负价 &lt;0</w:t>
            </w:r>
          </w:p>
        </w:tc>
        <w:tc>
          <w:tcPr>
            <w:tcW w:type="dxa" w:w="1616"/>
            <w:vAlign w:val="center"/>
            <w:shd w:fill="143E52"/>
          </w:tcPr>
          <w:p>
            <w:pPr>
              <w:spacing w:after="60" w:before="60" w:line="259" w:lineRule="auto"/>
            </w:pPr>
            <w:r>
              <w:rPr>
                <w:rFonts w:ascii="Calibri" w:hAnsi="Calibri" w:eastAsia="Noto Sans CJK SC"/>
                <w:b/>
                <w:color w:val="FFFFFF"/>
                <w:sz w:val="16"/>
              </w:rPr>
              <w:t>常态0–300</w:t>
            </w:r>
          </w:p>
        </w:tc>
        <w:tc>
          <w:tcPr>
            <w:tcW w:type="dxa" w:w="1616"/>
            <w:vAlign w:val="center"/>
            <w:shd w:fill="143E52"/>
          </w:tcPr>
          <w:p>
            <w:pPr>
              <w:spacing w:after="60" w:before="60" w:line="259" w:lineRule="auto"/>
            </w:pPr>
            <w:r>
              <w:rPr>
                <w:rFonts w:ascii="Calibri" w:hAnsi="Calibri" w:eastAsia="Noto Sans CJK SC"/>
                <w:b/>
                <w:color w:val="FFFFFF"/>
                <w:sz w:val="16"/>
              </w:rPr>
              <w:t>高价 &gt;300</w:t>
            </w:r>
          </w:p>
        </w:tc>
        <w:tc>
          <w:tcPr>
            <w:tcW w:type="dxa" w:w="1616"/>
            <w:vAlign w:val="center"/>
            <w:shd w:fill="143E52"/>
          </w:tcPr>
          <w:p>
            <w:pPr>
              <w:spacing w:after="60" w:before="60" w:line="259" w:lineRule="auto"/>
            </w:pPr>
            <w:r>
              <w:rPr>
                <w:rFonts w:ascii="Calibri" w:hAnsi="Calibri" w:eastAsia="Noto Sans CJK SC"/>
                <w:b/>
                <w:color w:val="FFFFFF"/>
                <w:sz w:val="16"/>
              </w:rPr>
              <w:t>极端 &gt;1000</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LightGBM</w:t>
            </w:r>
          </w:p>
        </w:tc>
        <w:tc>
          <w:tcPr>
            <w:tcW w:type="dxa" w:w="1616"/>
            <w:vAlign w:val="center"/>
            <w:shd w:fill="EEF4F7"/>
          </w:tcPr>
          <w:p>
            <w:pPr>
              <w:spacing w:after="60" w:before="60" w:line="259" w:lineRule="auto"/>
            </w:pPr>
            <w:r>
              <w:rPr>
                <w:rFonts w:ascii="Calibri" w:hAnsi="Calibri" w:eastAsia="Noto Sans CJK SC"/>
                <w:b w:val="0"/>
                <w:color w:val="172F3B"/>
                <w:sz w:val="16"/>
              </w:rPr>
              <w:t>30.618</w:t>
            </w:r>
          </w:p>
        </w:tc>
        <w:tc>
          <w:tcPr>
            <w:tcW w:type="dxa" w:w="1616"/>
            <w:vAlign w:val="center"/>
            <w:shd w:fill="EEF4F7"/>
          </w:tcPr>
          <w:p>
            <w:pPr>
              <w:spacing w:after="60" w:before="60" w:line="259" w:lineRule="auto"/>
            </w:pPr>
            <w:r>
              <w:rPr>
                <w:rFonts w:ascii="Calibri" w:hAnsi="Calibri" w:eastAsia="Noto Sans CJK SC"/>
                <w:b w:val="0"/>
                <w:color w:val="172F3B"/>
                <w:sz w:val="16"/>
              </w:rPr>
              <w:t>22.822</w:t>
            </w:r>
          </w:p>
        </w:tc>
        <w:tc>
          <w:tcPr>
            <w:tcW w:type="dxa" w:w="1616"/>
            <w:vAlign w:val="center"/>
            <w:shd w:fill="EEF4F7"/>
          </w:tcPr>
          <w:p>
            <w:pPr>
              <w:spacing w:after="60" w:before="60" w:line="259" w:lineRule="auto"/>
            </w:pPr>
            <w:r>
              <w:rPr>
                <w:rFonts w:ascii="Calibri" w:hAnsi="Calibri" w:eastAsia="Noto Sans CJK SC"/>
                <w:b w:val="0"/>
                <w:color w:val="172F3B"/>
                <w:sz w:val="16"/>
              </w:rPr>
              <w:t>988.399</w:t>
            </w:r>
          </w:p>
        </w:tc>
        <w:tc>
          <w:tcPr>
            <w:tcW w:type="dxa" w:w="1616"/>
            <w:vAlign w:val="center"/>
            <w:shd w:fill="EEF4F7"/>
          </w:tcPr>
          <w:p>
            <w:pPr>
              <w:spacing w:after="60" w:before="60" w:line="259" w:lineRule="auto"/>
            </w:pPr>
            <w:r>
              <w:rPr>
                <w:rFonts w:ascii="Calibri" w:hAnsi="Calibri" w:eastAsia="Noto Sans CJK SC"/>
                <w:b w:val="0"/>
                <w:color w:val="172F3B"/>
                <w:sz w:val="16"/>
              </w:rPr>
              <w:t>3472.494</w:t>
            </w:r>
          </w:p>
        </w:tc>
      </w:tr>
      <w:tr>
        <w:trPr>
          <w:cantSplit/>
        </w:trPr>
        <w:tc>
          <w:tcPr>
            <w:tcW w:type="dxa" w:w="2891"/>
            <w:vAlign w:val="center"/>
            <w:shd w:fill="FFFFFF"/>
          </w:tcPr>
          <w:p>
            <w:pPr>
              <w:spacing w:after="60" w:before="60" w:line="259" w:lineRule="auto"/>
            </w:pPr>
            <w:r>
              <w:rPr>
                <w:rFonts w:ascii="Calibri" w:hAnsi="Calibri" w:eastAsia="Noto Sans CJK SC"/>
                <w:b w:val="0"/>
                <w:color w:val="172F3B"/>
                <w:sz w:val="16"/>
              </w:rPr>
              <w:t>LightGBM+CP</w:t>
            </w:r>
          </w:p>
        </w:tc>
        <w:tc>
          <w:tcPr>
            <w:tcW w:type="dxa" w:w="1616"/>
            <w:vAlign w:val="center"/>
            <w:shd w:fill="FFFFFF"/>
          </w:tcPr>
          <w:p>
            <w:pPr>
              <w:spacing w:after="60" w:before="60" w:line="259" w:lineRule="auto"/>
            </w:pPr>
            <w:r>
              <w:rPr>
                <w:rFonts w:ascii="Calibri" w:hAnsi="Calibri" w:eastAsia="Noto Sans CJK SC"/>
                <w:b w:val="0"/>
                <w:color w:val="172F3B"/>
                <w:sz w:val="16"/>
              </w:rPr>
              <w:t>30.618</w:t>
            </w:r>
          </w:p>
        </w:tc>
        <w:tc>
          <w:tcPr>
            <w:tcW w:type="dxa" w:w="1616"/>
            <w:vAlign w:val="center"/>
            <w:shd w:fill="FFFFFF"/>
          </w:tcPr>
          <w:p>
            <w:pPr>
              <w:spacing w:after="60" w:before="60" w:line="259" w:lineRule="auto"/>
            </w:pPr>
            <w:r>
              <w:rPr>
                <w:rFonts w:ascii="Calibri" w:hAnsi="Calibri" w:eastAsia="Noto Sans CJK SC"/>
                <w:b w:val="0"/>
                <w:color w:val="172F3B"/>
                <w:sz w:val="16"/>
              </w:rPr>
              <w:t>22.822</w:t>
            </w:r>
          </w:p>
        </w:tc>
        <w:tc>
          <w:tcPr>
            <w:tcW w:type="dxa" w:w="1616"/>
            <w:vAlign w:val="center"/>
            <w:shd w:fill="FFFFFF"/>
          </w:tcPr>
          <w:p>
            <w:pPr>
              <w:spacing w:after="60" w:before="60" w:line="259" w:lineRule="auto"/>
            </w:pPr>
            <w:r>
              <w:rPr>
                <w:rFonts w:ascii="Calibri" w:hAnsi="Calibri" w:eastAsia="Noto Sans CJK SC"/>
                <w:b w:val="0"/>
                <w:color w:val="172F3B"/>
                <w:sz w:val="16"/>
              </w:rPr>
              <w:t>988.399</w:t>
            </w:r>
          </w:p>
        </w:tc>
        <w:tc>
          <w:tcPr>
            <w:tcW w:type="dxa" w:w="1616"/>
            <w:vAlign w:val="center"/>
            <w:shd w:fill="FFFFFF"/>
          </w:tcPr>
          <w:p>
            <w:pPr>
              <w:spacing w:after="60" w:before="60" w:line="259" w:lineRule="auto"/>
            </w:pPr>
            <w:r>
              <w:rPr>
                <w:rFonts w:ascii="Calibri" w:hAnsi="Calibri" w:eastAsia="Noto Sans CJK SC"/>
                <w:b w:val="0"/>
                <w:color w:val="172F3B"/>
                <w:sz w:val="16"/>
              </w:rPr>
              <w:t>3472.494</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B_retrained（固定树）</w:t>
            </w:r>
          </w:p>
        </w:tc>
        <w:tc>
          <w:tcPr>
            <w:tcW w:type="dxa" w:w="1616"/>
            <w:vAlign w:val="center"/>
            <w:shd w:fill="EEF4F7"/>
          </w:tcPr>
          <w:p>
            <w:pPr>
              <w:spacing w:after="60" w:before="60" w:line="259" w:lineRule="auto"/>
            </w:pPr>
            <w:r>
              <w:rPr>
                <w:rFonts w:ascii="Calibri" w:hAnsi="Calibri" w:eastAsia="Noto Sans CJK SC"/>
                <w:b w:val="0"/>
                <w:color w:val="172F3B"/>
                <w:sz w:val="16"/>
              </w:rPr>
              <w:t>30.697</w:t>
            </w:r>
          </w:p>
        </w:tc>
        <w:tc>
          <w:tcPr>
            <w:tcW w:type="dxa" w:w="1616"/>
            <w:vAlign w:val="center"/>
            <w:shd w:fill="EEF4F7"/>
          </w:tcPr>
          <w:p>
            <w:pPr>
              <w:spacing w:after="60" w:before="60" w:line="259" w:lineRule="auto"/>
            </w:pPr>
            <w:r>
              <w:rPr>
                <w:rFonts w:ascii="Calibri" w:hAnsi="Calibri" w:eastAsia="Noto Sans CJK SC"/>
                <w:b w:val="0"/>
                <w:color w:val="172F3B"/>
                <w:sz w:val="16"/>
              </w:rPr>
              <w:t>22.815</w:t>
            </w:r>
          </w:p>
        </w:tc>
        <w:tc>
          <w:tcPr>
            <w:tcW w:type="dxa" w:w="1616"/>
            <w:vAlign w:val="center"/>
            <w:shd w:fill="EEF4F7"/>
          </w:tcPr>
          <w:p>
            <w:pPr>
              <w:spacing w:after="60" w:before="60" w:line="259" w:lineRule="auto"/>
            </w:pPr>
            <w:r>
              <w:rPr>
                <w:rFonts w:ascii="Calibri" w:hAnsi="Calibri" w:eastAsia="Noto Sans CJK SC"/>
                <w:b w:val="0"/>
                <w:color w:val="172F3B"/>
                <w:sz w:val="16"/>
              </w:rPr>
              <w:t>988.583</w:t>
            </w:r>
          </w:p>
        </w:tc>
        <w:tc>
          <w:tcPr>
            <w:tcW w:type="dxa" w:w="1616"/>
            <w:vAlign w:val="center"/>
            <w:shd w:fill="EEF4F7"/>
          </w:tcPr>
          <w:p>
            <w:pPr>
              <w:spacing w:after="60" w:before="60" w:line="259" w:lineRule="auto"/>
            </w:pPr>
            <w:r>
              <w:rPr>
                <w:rFonts w:ascii="Calibri" w:hAnsi="Calibri" w:eastAsia="Noto Sans CJK SC"/>
                <w:b w:val="0"/>
                <w:color w:val="172F3B"/>
                <w:sz w:val="16"/>
              </w:rPr>
              <w:t>3473.076</w:t>
            </w:r>
          </w:p>
        </w:tc>
      </w:tr>
      <w:tr>
        <w:trPr>
          <w:cantSplit/>
        </w:trPr>
        <w:tc>
          <w:tcPr>
            <w:tcW w:type="dxa" w:w="2891"/>
            <w:vAlign w:val="center"/>
            <w:shd w:fill="FFFFFF"/>
          </w:tcPr>
          <w:p>
            <w:pPr>
              <w:spacing w:after="60" w:before="60" w:line="259" w:lineRule="auto"/>
            </w:pPr>
            <w:r>
              <w:rPr>
                <w:rFonts w:ascii="Calibri" w:hAnsi="Calibri" w:eastAsia="Noto Sans CJK SC"/>
                <w:b w:val="0"/>
                <w:color w:val="172F3B"/>
                <w:sz w:val="16"/>
              </w:rPr>
              <w:t>关闭事件项</w:t>
            </w:r>
          </w:p>
        </w:tc>
        <w:tc>
          <w:tcPr>
            <w:tcW w:type="dxa" w:w="1616"/>
            <w:vAlign w:val="center"/>
            <w:shd w:fill="FFFFFF"/>
          </w:tcPr>
          <w:p>
            <w:pPr>
              <w:spacing w:after="60" w:before="60" w:line="259" w:lineRule="auto"/>
            </w:pPr>
            <w:r>
              <w:rPr>
                <w:rFonts w:ascii="Calibri" w:hAnsi="Calibri" w:eastAsia="Noto Sans CJK SC"/>
                <w:b w:val="0"/>
                <w:color w:val="172F3B"/>
                <w:sz w:val="16"/>
              </w:rPr>
              <w:t>28.542</w:t>
            </w:r>
          </w:p>
        </w:tc>
        <w:tc>
          <w:tcPr>
            <w:tcW w:type="dxa" w:w="1616"/>
            <w:vAlign w:val="center"/>
            <w:shd w:fill="FFFFFF"/>
          </w:tcPr>
          <w:p>
            <w:pPr>
              <w:spacing w:after="60" w:before="60" w:line="259" w:lineRule="auto"/>
            </w:pPr>
            <w:r>
              <w:rPr>
                <w:rFonts w:ascii="Calibri" w:hAnsi="Calibri" w:eastAsia="Noto Sans CJK SC"/>
                <w:b w:val="0"/>
                <w:color w:val="172F3B"/>
                <w:sz w:val="16"/>
              </w:rPr>
              <w:t>23.857</w:t>
            </w:r>
          </w:p>
        </w:tc>
        <w:tc>
          <w:tcPr>
            <w:tcW w:type="dxa" w:w="1616"/>
            <w:vAlign w:val="center"/>
            <w:shd w:fill="FFFFFF"/>
          </w:tcPr>
          <w:p>
            <w:pPr>
              <w:spacing w:after="60" w:before="60" w:line="259" w:lineRule="auto"/>
            </w:pPr>
            <w:r>
              <w:rPr>
                <w:rFonts w:ascii="Calibri" w:hAnsi="Calibri" w:eastAsia="Noto Sans CJK SC"/>
                <w:b w:val="0"/>
                <w:color w:val="172F3B"/>
                <w:sz w:val="16"/>
              </w:rPr>
              <w:t>970.853</w:t>
            </w:r>
          </w:p>
        </w:tc>
        <w:tc>
          <w:tcPr>
            <w:tcW w:type="dxa" w:w="1616"/>
            <w:vAlign w:val="center"/>
            <w:shd w:fill="FFFFFF"/>
          </w:tcPr>
          <w:p>
            <w:pPr>
              <w:spacing w:after="60" w:before="60" w:line="259" w:lineRule="auto"/>
            </w:pPr>
            <w:r>
              <w:rPr>
                <w:rFonts w:ascii="Calibri" w:hAnsi="Calibri" w:eastAsia="Noto Sans CJK SC"/>
                <w:b w:val="0"/>
                <w:color w:val="172F3B"/>
                <w:sz w:val="16"/>
              </w:rPr>
              <w:t>3453.244</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关闭时间移动</w:t>
            </w:r>
          </w:p>
        </w:tc>
        <w:tc>
          <w:tcPr>
            <w:tcW w:type="dxa" w:w="1616"/>
            <w:vAlign w:val="center"/>
            <w:shd w:fill="EEF4F7"/>
          </w:tcPr>
          <w:p>
            <w:pPr>
              <w:spacing w:after="60" w:before="60" w:line="259" w:lineRule="auto"/>
            </w:pPr>
            <w:r>
              <w:rPr>
                <w:rFonts w:ascii="Calibri" w:hAnsi="Calibri" w:eastAsia="Noto Sans CJK SC"/>
                <w:b w:val="0"/>
                <w:color w:val="172F3B"/>
                <w:sz w:val="16"/>
              </w:rPr>
              <w:t>28.550</w:t>
            </w:r>
          </w:p>
        </w:tc>
        <w:tc>
          <w:tcPr>
            <w:tcW w:type="dxa" w:w="1616"/>
            <w:vAlign w:val="center"/>
            <w:shd w:fill="EEF4F7"/>
          </w:tcPr>
          <w:p>
            <w:pPr>
              <w:spacing w:after="60" w:before="60" w:line="259" w:lineRule="auto"/>
            </w:pPr>
            <w:r>
              <w:rPr>
                <w:rFonts w:ascii="Calibri" w:hAnsi="Calibri" w:eastAsia="Noto Sans CJK SC"/>
                <w:b w:val="0"/>
                <w:color w:val="172F3B"/>
                <w:sz w:val="16"/>
              </w:rPr>
              <w:t>23.971</w:t>
            </w:r>
          </w:p>
        </w:tc>
        <w:tc>
          <w:tcPr>
            <w:tcW w:type="dxa" w:w="1616"/>
            <w:vAlign w:val="center"/>
            <w:shd w:fill="EEF4F7"/>
          </w:tcPr>
          <w:p>
            <w:pPr>
              <w:spacing w:after="60" w:before="60" w:line="259" w:lineRule="auto"/>
            </w:pPr>
            <w:r>
              <w:rPr>
                <w:rFonts w:ascii="Calibri" w:hAnsi="Calibri" w:eastAsia="Noto Sans CJK SC"/>
                <w:b w:val="0"/>
                <w:color w:val="172F3B"/>
                <w:sz w:val="16"/>
              </w:rPr>
              <w:t>966.239</w:t>
            </w:r>
          </w:p>
        </w:tc>
        <w:tc>
          <w:tcPr>
            <w:tcW w:type="dxa" w:w="1616"/>
            <w:vAlign w:val="center"/>
            <w:shd w:fill="EEF4F7"/>
          </w:tcPr>
          <w:p>
            <w:pPr>
              <w:spacing w:after="60" w:before="60" w:line="259" w:lineRule="auto"/>
            </w:pPr>
            <w:r>
              <w:rPr>
                <w:rFonts w:ascii="Calibri" w:hAnsi="Calibri" w:eastAsia="Noto Sans CJK SC"/>
                <w:b w:val="0"/>
                <w:color w:val="172F3B"/>
                <w:sz w:val="16"/>
              </w:rPr>
              <w:t>3440.345</w:t>
            </w:r>
          </w:p>
        </w:tc>
      </w:tr>
      <w:tr>
        <w:trPr>
          <w:cantSplit/>
        </w:trPr>
        <w:tc>
          <w:tcPr>
            <w:tcW w:type="dxa" w:w="2891"/>
            <w:vAlign w:val="center"/>
            <w:shd w:fill="FFFFFF"/>
          </w:tcPr>
          <w:p>
            <w:pPr>
              <w:spacing w:after="60" w:before="60" w:line="259" w:lineRule="auto"/>
            </w:pPr>
            <w:r>
              <w:rPr>
                <w:rFonts w:ascii="Calibri" w:hAnsi="Calibri" w:eastAsia="Noto Sans CJK SC"/>
                <w:b w:val="0"/>
                <w:color w:val="172F3B"/>
                <w:sz w:val="16"/>
              </w:rPr>
              <w:t>Full_joint（当前方法）</w:t>
            </w:r>
          </w:p>
        </w:tc>
        <w:tc>
          <w:tcPr>
            <w:tcW w:type="dxa" w:w="1616"/>
            <w:vAlign w:val="center"/>
            <w:shd w:fill="FFFFFF"/>
          </w:tcPr>
          <w:p>
            <w:pPr>
              <w:spacing w:after="60" w:before="60" w:line="259" w:lineRule="auto"/>
            </w:pPr>
            <w:r>
              <w:rPr>
                <w:rFonts w:ascii="Calibri" w:hAnsi="Calibri" w:eastAsia="Noto Sans CJK SC"/>
                <w:b w:val="0"/>
                <w:color w:val="172F3B"/>
                <w:sz w:val="16"/>
              </w:rPr>
              <w:t>28.540</w:t>
            </w:r>
          </w:p>
        </w:tc>
        <w:tc>
          <w:tcPr>
            <w:tcW w:type="dxa" w:w="1616"/>
            <w:vAlign w:val="center"/>
            <w:shd w:fill="FFFFFF"/>
          </w:tcPr>
          <w:p>
            <w:pPr>
              <w:spacing w:after="60" w:before="60" w:line="259" w:lineRule="auto"/>
            </w:pPr>
            <w:r>
              <w:rPr>
                <w:rFonts w:ascii="Calibri" w:hAnsi="Calibri" w:eastAsia="Noto Sans CJK SC"/>
                <w:b w:val="0"/>
                <w:color w:val="172F3B"/>
                <w:sz w:val="16"/>
              </w:rPr>
              <w:t>23.948</w:t>
            </w:r>
          </w:p>
        </w:tc>
        <w:tc>
          <w:tcPr>
            <w:tcW w:type="dxa" w:w="1616"/>
            <w:vAlign w:val="center"/>
            <w:shd w:fill="FFFFFF"/>
          </w:tcPr>
          <w:p>
            <w:pPr>
              <w:spacing w:after="60" w:before="60" w:line="259" w:lineRule="auto"/>
            </w:pPr>
            <w:r>
              <w:rPr>
                <w:rFonts w:ascii="Calibri" w:hAnsi="Calibri" w:eastAsia="Noto Sans CJK SC"/>
                <w:b w:val="0"/>
                <w:color w:val="172F3B"/>
                <w:sz w:val="16"/>
              </w:rPr>
              <w:t>967.603</w:t>
            </w:r>
          </w:p>
        </w:tc>
        <w:tc>
          <w:tcPr>
            <w:tcW w:type="dxa" w:w="1616"/>
            <w:vAlign w:val="center"/>
            <w:shd w:fill="FFFFFF"/>
          </w:tcPr>
          <w:p>
            <w:pPr>
              <w:spacing w:after="60" w:before="60" w:line="259" w:lineRule="auto"/>
            </w:pPr>
            <w:r>
              <w:rPr>
                <w:rFonts w:ascii="Calibri" w:hAnsi="Calibri" w:eastAsia="Noto Sans CJK SC"/>
                <w:b w:val="0"/>
                <w:color w:val="172F3B"/>
                <w:sz w:val="16"/>
              </w:rPr>
              <w:t>3444.268</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Anchor_joint</w:t>
            </w:r>
          </w:p>
        </w:tc>
        <w:tc>
          <w:tcPr>
            <w:tcW w:type="dxa" w:w="1616"/>
            <w:vAlign w:val="center"/>
            <w:shd w:fill="EEF4F7"/>
          </w:tcPr>
          <w:p>
            <w:pPr>
              <w:spacing w:after="60" w:before="60" w:line="259" w:lineRule="auto"/>
            </w:pPr>
            <w:r>
              <w:rPr>
                <w:rFonts w:ascii="Calibri" w:hAnsi="Calibri" w:eastAsia="Noto Sans CJK SC"/>
                <w:b w:val="0"/>
                <w:color w:val="172F3B"/>
                <w:sz w:val="16"/>
              </w:rPr>
              <w:t>29.002</w:t>
            </w:r>
          </w:p>
        </w:tc>
        <w:tc>
          <w:tcPr>
            <w:tcW w:type="dxa" w:w="1616"/>
            <w:vAlign w:val="center"/>
            <w:shd w:fill="EEF4F7"/>
          </w:tcPr>
          <w:p>
            <w:pPr>
              <w:spacing w:after="60" w:before="60" w:line="259" w:lineRule="auto"/>
            </w:pPr>
            <w:r>
              <w:rPr>
                <w:rFonts w:ascii="Calibri" w:hAnsi="Calibri" w:eastAsia="Noto Sans CJK SC"/>
                <w:b w:val="0"/>
                <w:color w:val="172F3B"/>
                <w:sz w:val="16"/>
              </w:rPr>
              <w:t>23.969</w:t>
            </w:r>
          </w:p>
        </w:tc>
        <w:tc>
          <w:tcPr>
            <w:tcW w:type="dxa" w:w="1616"/>
            <w:vAlign w:val="center"/>
            <w:shd w:fill="EEF4F7"/>
          </w:tcPr>
          <w:p>
            <w:pPr>
              <w:spacing w:after="60" w:before="60" w:line="259" w:lineRule="auto"/>
            </w:pPr>
            <w:r>
              <w:rPr>
                <w:rFonts w:ascii="Calibri" w:hAnsi="Calibri" w:eastAsia="Noto Sans CJK SC"/>
                <w:b w:val="0"/>
                <w:color w:val="172F3B"/>
                <w:sz w:val="16"/>
              </w:rPr>
              <w:t>970.668</w:t>
            </w:r>
          </w:p>
        </w:tc>
        <w:tc>
          <w:tcPr>
            <w:tcW w:type="dxa" w:w="1616"/>
            <w:vAlign w:val="center"/>
            <w:shd w:fill="EEF4F7"/>
          </w:tcPr>
          <w:p>
            <w:pPr>
              <w:spacing w:after="60" w:before="60" w:line="259" w:lineRule="auto"/>
            </w:pPr>
            <w:r>
              <w:rPr>
                <w:rFonts w:ascii="Calibri" w:hAnsi="Calibri" w:eastAsia="Noto Sans CJK SC"/>
                <w:b w:val="0"/>
                <w:color w:val="172F3B"/>
                <w:sz w:val="16"/>
              </w:rPr>
              <w:t>3453.017</w:t>
            </w:r>
          </w:p>
        </w:tc>
      </w:tr>
      <w:tr>
        <w:trPr>
          <w:cantSplit/>
        </w:trPr>
        <w:tc>
          <w:tcPr>
            <w:tcW w:type="dxa" w:w="2891"/>
            <w:vAlign w:val="center"/>
            <w:shd w:fill="FFFFFF"/>
          </w:tcPr>
          <w:p>
            <w:pPr>
              <w:spacing w:after="60" w:before="60" w:line="259" w:lineRule="auto"/>
            </w:pPr>
            <w:r>
              <w:rPr>
                <w:rFonts w:ascii="Calibri" w:hAnsi="Calibri" w:eastAsia="Noto Sans CJK SC"/>
                <w:b w:val="0"/>
                <w:color w:val="172F3B"/>
                <w:sz w:val="16"/>
              </w:rPr>
              <w:t>Full_joint_raw</w:t>
            </w:r>
          </w:p>
        </w:tc>
        <w:tc>
          <w:tcPr>
            <w:tcW w:type="dxa" w:w="1616"/>
            <w:vAlign w:val="center"/>
            <w:shd w:fill="FFFFFF"/>
          </w:tcPr>
          <w:p>
            <w:pPr>
              <w:spacing w:after="60" w:before="60" w:line="259" w:lineRule="auto"/>
            </w:pPr>
            <w:r>
              <w:rPr>
                <w:rFonts w:ascii="Calibri" w:hAnsi="Calibri" w:eastAsia="Noto Sans CJK SC"/>
                <w:b w:val="0"/>
                <w:color w:val="172F3B"/>
                <w:sz w:val="16"/>
              </w:rPr>
              <w:t>27.995</w:t>
            </w:r>
          </w:p>
        </w:tc>
        <w:tc>
          <w:tcPr>
            <w:tcW w:type="dxa" w:w="1616"/>
            <w:vAlign w:val="center"/>
            <w:shd w:fill="FFFFFF"/>
          </w:tcPr>
          <w:p>
            <w:pPr>
              <w:spacing w:after="60" w:before="60" w:line="259" w:lineRule="auto"/>
            </w:pPr>
            <w:r>
              <w:rPr>
                <w:rFonts w:ascii="Calibri" w:hAnsi="Calibri" w:eastAsia="Noto Sans CJK SC"/>
                <w:b w:val="0"/>
                <w:color w:val="172F3B"/>
                <w:sz w:val="16"/>
              </w:rPr>
              <w:t>24.150</w:t>
            </w:r>
          </w:p>
        </w:tc>
        <w:tc>
          <w:tcPr>
            <w:tcW w:type="dxa" w:w="1616"/>
            <w:vAlign w:val="center"/>
            <w:shd w:fill="FFFFFF"/>
          </w:tcPr>
          <w:p>
            <w:pPr>
              <w:spacing w:after="60" w:before="60" w:line="259" w:lineRule="auto"/>
            </w:pPr>
            <w:r>
              <w:rPr>
                <w:rFonts w:ascii="Calibri" w:hAnsi="Calibri" w:eastAsia="Noto Sans CJK SC"/>
                <w:b w:val="0"/>
                <w:color w:val="172F3B"/>
                <w:sz w:val="16"/>
              </w:rPr>
              <w:t>967.824</w:t>
            </w:r>
          </w:p>
        </w:tc>
        <w:tc>
          <w:tcPr>
            <w:tcW w:type="dxa" w:w="1616"/>
            <w:vAlign w:val="center"/>
            <w:shd w:fill="FFFFFF"/>
          </w:tcPr>
          <w:p>
            <w:pPr>
              <w:spacing w:after="60" w:before="60" w:line="259" w:lineRule="auto"/>
            </w:pPr>
            <w:r>
              <w:rPr>
                <w:rFonts w:ascii="Calibri" w:hAnsi="Calibri" w:eastAsia="Noto Sans CJK SC"/>
                <w:b w:val="0"/>
                <w:color w:val="172F3B"/>
                <w:sz w:val="16"/>
              </w:rPr>
              <w:t>3444.545</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XGBoost</w:t>
            </w:r>
          </w:p>
        </w:tc>
        <w:tc>
          <w:tcPr>
            <w:tcW w:type="dxa" w:w="1616"/>
            <w:vAlign w:val="center"/>
            <w:shd w:fill="EEF4F7"/>
          </w:tcPr>
          <w:p>
            <w:pPr>
              <w:spacing w:after="60" w:before="60" w:line="259" w:lineRule="auto"/>
            </w:pPr>
            <w:r>
              <w:rPr>
                <w:rFonts w:ascii="Calibri" w:hAnsi="Calibri" w:eastAsia="Noto Sans CJK SC"/>
                <w:b w:val="0"/>
                <w:color w:val="172F3B"/>
                <w:sz w:val="16"/>
              </w:rPr>
              <w:t>35.720</w:t>
            </w:r>
          </w:p>
        </w:tc>
        <w:tc>
          <w:tcPr>
            <w:tcW w:type="dxa" w:w="1616"/>
            <w:vAlign w:val="center"/>
            <w:shd w:fill="EEF4F7"/>
          </w:tcPr>
          <w:p>
            <w:pPr>
              <w:spacing w:after="60" w:before="60" w:line="259" w:lineRule="auto"/>
            </w:pPr>
            <w:r>
              <w:rPr>
                <w:rFonts w:ascii="Calibri" w:hAnsi="Calibri" w:eastAsia="Noto Sans CJK SC"/>
                <w:b w:val="0"/>
                <w:color w:val="172F3B"/>
                <w:sz w:val="16"/>
              </w:rPr>
              <w:t>23.141</w:t>
            </w:r>
          </w:p>
        </w:tc>
        <w:tc>
          <w:tcPr>
            <w:tcW w:type="dxa" w:w="1616"/>
            <w:vAlign w:val="center"/>
            <w:shd w:fill="EEF4F7"/>
          </w:tcPr>
          <w:p>
            <w:pPr>
              <w:spacing w:after="60" w:before="60" w:line="259" w:lineRule="auto"/>
            </w:pPr>
            <w:r>
              <w:rPr>
                <w:rFonts w:ascii="Calibri" w:hAnsi="Calibri" w:eastAsia="Noto Sans CJK SC"/>
                <w:b w:val="0"/>
                <w:color w:val="172F3B"/>
                <w:sz w:val="16"/>
              </w:rPr>
              <w:t>993.813</w:t>
            </w:r>
          </w:p>
        </w:tc>
        <w:tc>
          <w:tcPr>
            <w:tcW w:type="dxa" w:w="1616"/>
            <w:vAlign w:val="center"/>
            <w:shd w:fill="EEF4F7"/>
          </w:tcPr>
          <w:p>
            <w:pPr>
              <w:spacing w:after="60" w:before="60" w:line="259" w:lineRule="auto"/>
            </w:pPr>
            <w:r>
              <w:rPr>
                <w:rFonts w:ascii="Calibri" w:hAnsi="Calibri" w:eastAsia="Noto Sans CJK SC"/>
                <w:b w:val="0"/>
                <w:color w:val="172F3B"/>
                <w:sz w:val="16"/>
              </w:rPr>
              <w:t>3478.080</w:t>
            </w:r>
          </w:p>
        </w:tc>
      </w:tr>
      <w:tr>
        <w:trPr>
          <w:cantSplit/>
        </w:trPr>
        <w:tc>
          <w:tcPr>
            <w:tcW w:type="dxa" w:w="2891"/>
            <w:vAlign w:val="center"/>
            <w:shd w:fill="FFFFFF"/>
          </w:tcPr>
          <w:p>
            <w:pPr>
              <w:spacing w:after="60" w:before="60" w:line="259" w:lineRule="auto"/>
            </w:pPr>
            <w:r>
              <w:rPr>
                <w:rFonts w:ascii="Calibri" w:hAnsi="Calibri" w:eastAsia="Noto Sans CJK SC"/>
                <w:b w:val="0"/>
                <w:color w:val="172F3B"/>
                <w:sz w:val="16"/>
              </w:rPr>
              <w:t>XGBoost+CP</w:t>
            </w:r>
          </w:p>
        </w:tc>
        <w:tc>
          <w:tcPr>
            <w:tcW w:type="dxa" w:w="1616"/>
            <w:vAlign w:val="center"/>
            <w:shd w:fill="FFFFFF"/>
          </w:tcPr>
          <w:p>
            <w:pPr>
              <w:spacing w:after="60" w:before="60" w:line="259" w:lineRule="auto"/>
            </w:pPr>
            <w:r>
              <w:rPr>
                <w:rFonts w:ascii="Calibri" w:hAnsi="Calibri" w:eastAsia="Noto Sans CJK SC"/>
                <w:b w:val="0"/>
                <w:color w:val="172F3B"/>
                <w:sz w:val="16"/>
              </w:rPr>
              <w:t>35.720</w:t>
            </w:r>
          </w:p>
        </w:tc>
        <w:tc>
          <w:tcPr>
            <w:tcW w:type="dxa" w:w="1616"/>
            <w:vAlign w:val="center"/>
            <w:shd w:fill="FFFFFF"/>
          </w:tcPr>
          <w:p>
            <w:pPr>
              <w:spacing w:after="60" w:before="60" w:line="259" w:lineRule="auto"/>
            </w:pPr>
            <w:r>
              <w:rPr>
                <w:rFonts w:ascii="Calibri" w:hAnsi="Calibri" w:eastAsia="Noto Sans CJK SC"/>
                <w:b w:val="0"/>
                <w:color w:val="172F3B"/>
                <w:sz w:val="16"/>
              </w:rPr>
              <w:t>23.141</w:t>
            </w:r>
          </w:p>
        </w:tc>
        <w:tc>
          <w:tcPr>
            <w:tcW w:type="dxa" w:w="1616"/>
            <w:vAlign w:val="center"/>
            <w:shd w:fill="FFFFFF"/>
          </w:tcPr>
          <w:p>
            <w:pPr>
              <w:spacing w:after="60" w:before="60" w:line="259" w:lineRule="auto"/>
            </w:pPr>
            <w:r>
              <w:rPr>
                <w:rFonts w:ascii="Calibri" w:hAnsi="Calibri" w:eastAsia="Noto Sans CJK SC"/>
                <w:b w:val="0"/>
                <w:color w:val="172F3B"/>
                <w:sz w:val="16"/>
              </w:rPr>
              <w:t>993.813</w:t>
            </w:r>
          </w:p>
        </w:tc>
        <w:tc>
          <w:tcPr>
            <w:tcW w:type="dxa" w:w="1616"/>
            <w:vAlign w:val="center"/>
            <w:shd w:fill="FFFFFF"/>
          </w:tcPr>
          <w:p>
            <w:pPr>
              <w:spacing w:after="60" w:before="60" w:line="259" w:lineRule="auto"/>
            </w:pPr>
            <w:r>
              <w:rPr>
                <w:rFonts w:ascii="Calibri" w:hAnsi="Calibri" w:eastAsia="Noto Sans CJK SC"/>
                <w:b w:val="0"/>
                <w:color w:val="172F3B"/>
                <w:sz w:val="16"/>
              </w:rPr>
              <w:t>3478.080</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LightGBM+QRA</w:t>
            </w:r>
          </w:p>
        </w:tc>
        <w:tc>
          <w:tcPr>
            <w:tcW w:type="dxa" w:w="1616"/>
            <w:vAlign w:val="center"/>
            <w:shd w:fill="EEF4F7"/>
          </w:tcPr>
          <w:p>
            <w:pPr>
              <w:spacing w:after="60" w:before="60" w:line="259" w:lineRule="auto"/>
            </w:pPr>
            <w:r>
              <w:rPr>
                <w:rFonts w:ascii="Calibri" w:hAnsi="Calibri" w:eastAsia="Noto Sans CJK SC"/>
                <w:b w:val="0"/>
                <w:color w:val="172F3B"/>
                <w:sz w:val="16"/>
              </w:rPr>
              <w:t>34.674</w:t>
            </w:r>
          </w:p>
        </w:tc>
        <w:tc>
          <w:tcPr>
            <w:tcW w:type="dxa" w:w="1616"/>
            <w:vAlign w:val="center"/>
            <w:shd w:fill="EEF4F7"/>
          </w:tcPr>
          <w:p>
            <w:pPr>
              <w:spacing w:after="60" w:before="60" w:line="259" w:lineRule="auto"/>
            </w:pPr>
            <w:r>
              <w:rPr>
                <w:rFonts w:ascii="Calibri" w:hAnsi="Calibri" w:eastAsia="Noto Sans CJK SC"/>
                <w:b w:val="0"/>
                <w:color w:val="172F3B"/>
                <w:sz w:val="16"/>
              </w:rPr>
              <w:t>28.652</w:t>
            </w:r>
          </w:p>
        </w:tc>
        <w:tc>
          <w:tcPr>
            <w:tcW w:type="dxa" w:w="1616"/>
            <w:vAlign w:val="center"/>
            <w:shd w:fill="EEF4F7"/>
          </w:tcPr>
          <w:p>
            <w:pPr>
              <w:spacing w:after="60" w:before="60" w:line="259" w:lineRule="auto"/>
            </w:pPr>
            <w:r>
              <w:rPr>
                <w:rFonts w:ascii="Calibri" w:hAnsi="Calibri" w:eastAsia="Noto Sans CJK SC"/>
                <w:b w:val="0"/>
                <w:color w:val="172F3B"/>
                <w:sz w:val="16"/>
              </w:rPr>
              <w:t>914.969</w:t>
            </w:r>
          </w:p>
        </w:tc>
        <w:tc>
          <w:tcPr>
            <w:tcW w:type="dxa" w:w="1616"/>
            <w:vAlign w:val="center"/>
            <w:shd w:fill="EEF4F7"/>
          </w:tcPr>
          <w:p>
            <w:pPr>
              <w:spacing w:after="60" w:before="60" w:line="259" w:lineRule="auto"/>
            </w:pPr>
            <w:r>
              <w:rPr>
                <w:rFonts w:ascii="Calibri" w:hAnsi="Calibri" w:eastAsia="Noto Sans CJK SC"/>
                <w:b w:val="0"/>
                <w:color w:val="172F3B"/>
                <w:sz w:val="16"/>
              </w:rPr>
              <w:t>3323.448</w:t>
            </w:r>
          </w:p>
        </w:tc>
      </w:tr>
      <w:tr>
        <w:trPr>
          <w:cantSplit/>
        </w:trPr>
        <w:tc>
          <w:tcPr>
            <w:tcW w:type="dxa" w:w="2891"/>
            <w:vAlign w:val="center"/>
            <w:shd w:fill="FFFFFF"/>
          </w:tcPr>
          <w:p>
            <w:pPr>
              <w:spacing w:after="60" w:before="60" w:line="259" w:lineRule="auto"/>
            </w:pPr>
            <w:r>
              <w:rPr>
                <w:rFonts w:ascii="Calibri" w:hAnsi="Calibri" w:eastAsia="Noto Sans CJK SC"/>
                <w:b w:val="0"/>
                <w:color w:val="172F3B"/>
                <w:sz w:val="16"/>
              </w:rPr>
              <w:t>TabPFN-3</w:t>
            </w:r>
          </w:p>
        </w:tc>
        <w:tc>
          <w:tcPr>
            <w:tcW w:type="dxa" w:w="1616"/>
            <w:vAlign w:val="center"/>
            <w:shd w:fill="FFFFFF"/>
          </w:tcPr>
          <w:p>
            <w:pPr>
              <w:spacing w:after="60" w:before="60" w:line="259" w:lineRule="auto"/>
            </w:pPr>
            <w:r>
              <w:rPr>
                <w:rFonts w:ascii="Calibri" w:hAnsi="Calibri" w:eastAsia="Noto Sans CJK SC"/>
                <w:b w:val="0"/>
                <w:color w:val="172F3B"/>
                <w:sz w:val="16"/>
              </w:rPr>
              <w:t>26.610</w:t>
            </w:r>
          </w:p>
        </w:tc>
        <w:tc>
          <w:tcPr>
            <w:tcW w:type="dxa" w:w="1616"/>
            <w:vAlign w:val="center"/>
            <w:shd w:fill="FFFFFF"/>
          </w:tcPr>
          <w:p>
            <w:pPr>
              <w:spacing w:after="60" w:before="60" w:line="259" w:lineRule="auto"/>
            </w:pPr>
            <w:r>
              <w:rPr>
                <w:rFonts w:ascii="Calibri" w:hAnsi="Calibri" w:eastAsia="Noto Sans CJK SC"/>
                <w:b w:val="0"/>
                <w:color w:val="172F3B"/>
                <w:sz w:val="16"/>
              </w:rPr>
              <w:t>31.014</w:t>
            </w:r>
          </w:p>
        </w:tc>
        <w:tc>
          <w:tcPr>
            <w:tcW w:type="dxa" w:w="1616"/>
            <w:vAlign w:val="center"/>
            <w:shd w:fill="FFFFFF"/>
          </w:tcPr>
          <w:p>
            <w:pPr>
              <w:spacing w:after="60" w:before="60" w:line="259" w:lineRule="auto"/>
            </w:pPr>
            <w:r>
              <w:rPr>
                <w:rFonts w:ascii="Calibri" w:hAnsi="Calibri" w:eastAsia="Noto Sans CJK SC"/>
                <w:b w:val="0"/>
                <w:color w:val="172F3B"/>
                <w:sz w:val="16"/>
              </w:rPr>
              <w:t>995.987</w:t>
            </w:r>
          </w:p>
        </w:tc>
        <w:tc>
          <w:tcPr>
            <w:tcW w:type="dxa" w:w="1616"/>
            <w:vAlign w:val="center"/>
            <w:shd w:fill="FFFFFF"/>
          </w:tcPr>
          <w:p>
            <w:pPr>
              <w:spacing w:after="60" w:before="60" w:line="259" w:lineRule="auto"/>
            </w:pPr>
            <w:r>
              <w:rPr>
                <w:rFonts w:ascii="Calibri" w:hAnsi="Calibri" w:eastAsia="Noto Sans CJK SC"/>
                <w:b w:val="0"/>
                <w:color w:val="172F3B"/>
                <w:sz w:val="16"/>
              </w:rPr>
              <w:t>3424.277</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PatchTST</w:t>
            </w:r>
          </w:p>
        </w:tc>
        <w:tc>
          <w:tcPr>
            <w:tcW w:type="dxa" w:w="1616"/>
            <w:vAlign w:val="center"/>
            <w:shd w:fill="EEF4F7"/>
          </w:tcPr>
          <w:p>
            <w:pPr>
              <w:spacing w:after="60" w:before="60" w:line="259" w:lineRule="auto"/>
            </w:pPr>
            <w:r>
              <w:rPr>
                <w:rFonts w:ascii="Calibri" w:hAnsi="Calibri" w:eastAsia="Noto Sans CJK SC"/>
                <w:b w:val="0"/>
                <w:color w:val="172F3B"/>
                <w:sz w:val="16"/>
              </w:rPr>
              <w:t>35.529</w:t>
            </w:r>
          </w:p>
        </w:tc>
        <w:tc>
          <w:tcPr>
            <w:tcW w:type="dxa" w:w="1616"/>
            <w:vAlign w:val="center"/>
            <w:shd w:fill="EEF4F7"/>
          </w:tcPr>
          <w:p>
            <w:pPr>
              <w:spacing w:after="60" w:before="60" w:line="259" w:lineRule="auto"/>
            </w:pPr>
            <w:r>
              <w:rPr>
                <w:rFonts w:ascii="Calibri" w:hAnsi="Calibri" w:eastAsia="Noto Sans CJK SC"/>
                <w:b w:val="0"/>
                <w:color w:val="172F3B"/>
                <w:sz w:val="16"/>
              </w:rPr>
              <w:t>31.164</w:t>
            </w:r>
          </w:p>
        </w:tc>
        <w:tc>
          <w:tcPr>
            <w:tcW w:type="dxa" w:w="1616"/>
            <w:vAlign w:val="center"/>
            <w:shd w:fill="EEF4F7"/>
          </w:tcPr>
          <w:p>
            <w:pPr>
              <w:spacing w:after="60" w:before="60" w:line="259" w:lineRule="auto"/>
            </w:pPr>
            <w:r>
              <w:rPr>
                <w:rFonts w:ascii="Calibri" w:hAnsi="Calibri" w:eastAsia="Noto Sans CJK SC"/>
                <w:b w:val="0"/>
                <w:color w:val="172F3B"/>
                <w:sz w:val="16"/>
              </w:rPr>
              <w:t>961.069</w:t>
            </w:r>
          </w:p>
        </w:tc>
        <w:tc>
          <w:tcPr>
            <w:tcW w:type="dxa" w:w="1616"/>
            <w:vAlign w:val="center"/>
            <w:shd w:fill="EEF4F7"/>
          </w:tcPr>
          <w:p>
            <w:pPr>
              <w:spacing w:after="60" w:before="60" w:line="259" w:lineRule="auto"/>
            </w:pPr>
            <w:r>
              <w:rPr>
                <w:rFonts w:ascii="Calibri" w:hAnsi="Calibri" w:eastAsia="Noto Sans CJK SC"/>
                <w:b w:val="0"/>
                <w:color w:val="172F3B"/>
                <w:sz w:val="16"/>
              </w:rPr>
              <w:t>3378.854</w:t>
            </w:r>
          </w:p>
        </w:tc>
      </w:tr>
      <w:tr>
        <w:trPr>
          <w:cantSplit/>
        </w:trPr>
        <w:tc>
          <w:tcPr>
            <w:tcW w:type="dxa" w:w="2891"/>
            <w:vAlign w:val="center"/>
            <w:shd w:fill="FFFFFF"/>
          </w:tcPr>
          <w:p>
            <w:pPr>
              <w:spacing w:after="60" w:before="60" w:line="259" w:lineRule="auto"/>
            </w:pPr>
            <w:r>
              <w:rPr>
                <w:rFonts w:ascii="Calibri" w:hAnsi="Calibri" w:eastAsia="Noto Sans CJK SC"/>
                <w:b w:val="0"/>
                <w:color w:val="172F3B"/>
                <w:sz w:val="16"/>
              </w:rPr>
              <w:t>GateTS</w:t>
            </w:r>
          </w:p>
        </w:tc>
        <w:tc>
          <w:tcPr>
            <w:tcW w:type="dxa" w:w="1616"/>
            <w:vAlign w:val="center"/>
            <w:shd w:fill="FFFFFF"/>
          </w:tcPr>
          <w:p>
            <w:pPr>
              <w:spacing w:after="60" w:before="60" w:line="259" w:lineRule="auto"/>
            </w:pPr>
            <w:r>
              <w:rPr>
                <w:rFonts w:ascii="Calibri" w:hAnsi="Calibri" w:eastAsia="Noto Sans CJK SC"/>
                <w:b w:val="0"/>
                <w:color w:val="172F3B"/>
                <w:sz w:val="16"/>
              </w:rPr>
              <w:t>42.766</w:t>
            </w:r>
          </w:p>
        </w:tc>
        <w:tc>
          <w:tcPr>
            <w:tcW w:type="dxa" w:w="1616"/>
            <w:vAlign w:val="center"/>
            <w:shd w:fill="FFFFFF"/>
          </w:tcPr>
          <w:p>
            <w:pPr>
              <w:spacing w:after="60" w:before="60" w:line="259" w:lineRule="auto"/>
            </w:pPr>
            <w:r>
              <w:rPr>
                <w:rFonts w:ascii="Calibri" w:hAnsi="Calibri" w:eastAsia="Noto Sans CJK SC"/>
                <w:b w:val="0"/>
                <w:color w:val="172F3B"/>
                <w:sz w:val="16"/>
              </w:rPr>
              <w:t>31.735</w:t>
            </w:r>
          </w:p>
        </w:tc>
        <w:tc>
          <w:tcPr>
            <w:tcW w:type="dxa" w:w="1616"/>
            <w:vAlign w:val="center"/>
            <w:shd w:fill="FFFFFF"/>
          </w:tcPr>
          <w:p>
            <w:pPr>
              <w:spacing w:after="60" w:before="60" w:line="259" w:lineRule="auto"/>
            </w:pPr>
            <w:r>
              <w:rPr>
                <w:rFonts w:ascii="Calibri" w:hAnsi="Calibri" w:eastAsia="Noto Sans CJK SC"/>
                <w:b w:val="0"/>
                <w:color w:val="172F3B"/>
                <w:sz w:val="16"/>
              </w:rPr>
              <w:t>977.003</w:t>
            </w:r>
          </w:p>
        </w:tc>
        <w:tc>
          <w:tcPr>
            <w:tcW w:type="dxa" w:w="1616"/>
            <w:vAlign w:val="center"/>
            <w:shd w:fill="FFFFFF"/>
          </w:tcPr>
          <w:p>
            <w:pPr>
              <w:spacing w:after="60" w:before="60" w:line="259" w:lineRule="auto"/>
            </w:pPr>
            <w:r>
              <w:rPr>
                <w:rFonts w:ascii="Calibri" w:hAnsi="Calibri" w:eastAsia="Noto Sans CJK SC"/>
                <w:b w:val="0"/>
                <w:color w:val="172F3B"/>
                <w:sz w:val="16"/>
              </w:rPr>
              <w:t>3367.502</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TimeXer</w:t>
            </w:r>
          </w:p>
        </w:tc>
        <w:tc>
          <w:tcPr>
            <w:tcW w:type="dxa" w:w="1616"/>
            <w:vAlign w:val="center"/>
            <w:shd w:fill="EEF4F7"/>
          </w:tcPr>
          <w:p>
            <w:pPr>
              <w:spacing w:after="60" w:before="60" w:line="259" w:lineRule="auto"/>
            </w:pPr>
            <w:r>
              <w:rPr>
                <w:rFonts w:ascii="Calibri" w:hAnsi="Calibri" w:eastAsia="Noto Sans CJK SC"/>
                <w:b w:val="0"/>
                <w:color w:val="172F3B"/>
                <w:sz w:val="16"/>
              </w:rPr>
              <w:t>46.697</w:t>
            </w:r>
          </w:p>
        </w:tc>
        <w:tc>
          <w:tcPr>
            <w:tcW w:type="dxa" w:w="1616"/>
            <w:vAlign w:val="center"/>
            <w:shd w:fill="EEF4F7"/>
          </w:tcPr>
          <w:p>
            <w:pPr>
              <w:spacing w:after="60" w:before="60" w:line="259" w:lineRule="auto"/>
            </w:pPr>
            <w:r>
              <w:rPr>
                <w:rFonts w:ascii="Calibri" w:hAnsi="Calibri" w:eastAsia="Noto Sans CJK SC"/>
                <w:b w:val="0"/>
                <w:color w:val="172F3B"/>
                <w:sz w:val="16"/>
              </w:rPr>
              <w:t>31.551</w:t>
            </w:r>
          </w:p>
        </w:tc>
        <w:tc>
          <w:tcPr>
            <w:tcW w:type="dxa" w:w="1616"/>
            <w:vAlign w:val="center"/>
            <w:shd w:fill="EEF4F7"/>
          </w:tcPr>
          <w:p>
            <w:pPr>
              <w:spacing w:after="60" w:before="60" w:line="259" w:lineRule="auto"/>
            </w:pPr>
            <w:r>
              <w:rPr>
                <w:rFonts w:ascii="Calibri" w:hAnsi="Calibri" w:eastAsia="Noto Sans CJK SC"/>
                <w:b w:val="0"/>
                <w:color w:val="172F3B"/>
                <w:sz w:val="16"/>
              </w:rPr>
              <w:t>993.276</w:t>
            </w:r>
          </w:p>
        </w:tc>
        <w:tc>
          <w:tcPr>
            <w:tcW w:type="dxa" w:w="1616"/>
            <w:vAlign w:val="center"/>
            <w:shd w:fill="EEF4F7"/>
          </w:tcPr>
          <w:p>
            <w:pPr>
              <w:spacing w:after="60" w:before="60" w:line="259" w:lineRule="auto"/>
            </w:pPr>
            <w:r>
              <w:rPr>
                <w:rFonts w:ascii="Calibri" w:hAnsi="Calibri" w:eastAsia="Noto Sans CJK SC"/>
                <w:b w:val="0"/>
                <w:color w:val="172F3B"/>
                <w:sz w:val="16"/>
              </w:rPr>
              <w:t>3464.054</w:t>
            </w:r>
          </w:p>
        </w:tc>
      </w:tr>
      <w:tr>
        <w:trPr>
          <w:cantSplit/>
        </w:trPr>
        <w:tc>
          <w:tcPr>
            <w:tcW w:type="dxa" w:w="2891"/>
            <w:vAlign w:val="center"/>
            <w:shd w:fill="FFFFFF"/>
          </w:tcPr>
          <w:p>
            <w:pPr>
              <w:spacing w:after="60" w:before="60" w:line="259" w:lineRule="auto"/>
            </w:pPr>
            <w:r>
              <w:rPr>
                <w:rFonts w:ascii="Calibri" w:hAnsi="Calibri" w:eastAsia="Noto Sans CJK SC"/>
                <w:b w:val="0"/>
                <w:color w:val="172F3B"/>
                <w:sz w:val="16"/>
              </w:rPr>
              <w:t>Linear</w:t>
            </w:r>
          </w:p>
        </w:tc>
        <w:tc>
          <w:tcPr>
            <w:tcW w:type="dxa" w:w="1616"/>
            <w:vAlign w:val="center"/>
            <w:shd w:fill="FFFFFF"/>
          </w:tcPr>
          <w:p>
            <w:pPr>
              <w:spacing w:after="60" w:before="60" w:line="259" w:lineRule="auto"/>
            </w:pPr>
            <w:r>
              <w:rPr>
                <w:rFonts w:ascii="Calibri" w:hAnsi="Calibri" w:eastAsia="Noto Sans CJK SC"/>
                <w:b w:val="0"/>
                <w:color w:val="172F3B"/>
                <w:sz w:val="16"/>
              </w:rPr>
              <w:t>40.678</w:t>
            </w:r>
          </w:p>
        </w:tc>
        <w:tc>
          <w:tcPr>
            <w:tcW w:type="dxa" w:w="1616"/>
            <w:vAlign w:val="center"/>
            <w:shd w:fill="FFFFFF"/>
          </w:tcPr>
          <w:p>
            <w:pPr>
              <w:spacing w:after="60" w:before="60" w:line="259" w:lineRule="auto"/>
            </w:pPr>
            <w:r>
              <w:rPr>
                <w:rFonts w:ascii="Calibri" w:hAnsi="Calibri" w:eastAsia="Noto Sans CJK SC"/>
                <w:b w:val="0"/>
                <w:color w:val="172F3B"/>
                <w:sz w:val="16"/>
              </w:rPr>
              <w:t>33.098</w:t>
            </w:r>
          </w:p>
        </w:tc>
        <w:tc>
          <w:tcPr>
            <w:tcW w:type="dxa" w:w="1616"/>
            <w:vAlign w:val="center"/>
            <w:shd w:fill="FFFFFF"/>
          </w:tcPr>
          <w:p>
            <w:pPr>
              <w:spacing w:after="60" w:before="60" w:line="259" w:lineRule="auto"/>
            </w:pPr>
            <w:r>
              <w:rPr>
                <w:rFonts w:ascii="Calibri" w:hAnsi="Calibri" w:eastAsia="Noto Sans CJK SC"/>
                <w:b w:val="0"/>
                <w:color w:val="172F3B"/>
                <w:sz w:val="16"/>
              </w:rPr>
              <w:t>958.248</w:t>
            </w:r>
          </w:p>
        </w:tc>
        <w:tc>
          <w:tcPr>
            <w:tcW w:type="dxa" w:w="1616"/>
            <w:vAlign w:val="center"/>
            <w:shd w:fill="FFFFFF"/>
          </w:tcPr>
          <w:p>
            <w:pPr>
              <w:spacing w:after="60" w:before="60" w:line="259" w:lineRule="auto"/>
            </w:pPr>
            <w:r>
              <w:rPr>
                <w:rFonts w:ascii="Calibri" w:hAnsi="Calibri" w:eastAsia="Noto Sans CJK SC"/>
                <w:b w:val="0"/>
                <w:color w:val="172F3B"/>
                <w:sz w:val="16"/>
              </w:rPr>
              <w:t>3306.708</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DLinear</w:t>
            </w:r>
          </w:p>
        </w:tc>
        <w:tc>
          <w:tcPr>
            <w:tcW w:type="dxa" w:w="1616"/>
            <w:vAlign w:val="center"/>
            <w:shd w:fill="EEF4F7"/>
          </w:tcPr>
          <w:p>
            <w:pPr>
              <w:spacing w:after="60" w:before="60" w:line="259" w:lineRule="auto"/>
            </w:pPr>
            <w:r>
              <w:rPr>
                <w:rFonts w:ascii="Calibri" w:hAnsi="Calibri" w:eastAsia="Noto Sans CJK SC"/>
                <w:b w:val="0"/>
                <w:color w:val="172F3B"/>
                <w:sz w:val="16"/>
              </w:rPr>
              <w:t>40.799</w:t>
            </w:r>
          </w:p>
        </w:tc>
        <w:tc>
          <w:tcPr>
            <w:tcW w:type="dxa" w:w="1616"/>
            <w:vAlign w:val="center"/>
            <w:shd w:fill="EEF4F7"/>
          </w:tcPr>
          <w:p>
            <w:pPr>
              <w:spacing w:after="60" w:before="60" w:line="259" w:lineRule="auto"/>
            </w:pPr>
            <w:r>
              <w:rPr>
                <w:rFonts w:ascii="Calibri" w:hAnsi="Calibri" w:eastAsia="Noto Sans CJK SC"/>
                <w:b w:val="0"/>
                <w:color w:val="172F3B"/>
                <w:sz w:val="16"/>
              </w:rPr>
              <w:t>33.192</w:t>
            </w:r>
          </w:p>
        </w:tc>
        <w:tc>
          <w:tcPr>
            <w:tcW w:type="dxa" w:w="1616"/>
            <w:vAlign w:val="center"/>
            <w:shd w:fill="EEF4F7"/>
          </w:tcPr>
          <w:p>
            <w:pPr>
              <w:spacing w:after="60" w:before="60" w:line="259" w:lineRule="auto"/>
            </w:pPr>
            <w:r>
              <w:rPr>
                <w:rFonts w:ascii="Calibri" w:hAnsi="Calibri" w:eastAsia="Noto Sans CJK SC"/>
                <w:b w:val="0"/>
                <w:color w:val="172F3B"/>
                <w:sz w:val="16"/>
              </w:rPr>
              <w:t>956.839</w:t>
            </w:r>
          </w:p>
        </w:tc>
        <w:tc>
          <w:tcPr>
            <w:tcW w:type="dxa" w:w="1616"/>
            <w:vAlign w:val="center"/>
            <w:shd w:fill="EEF4F7"/>
          </w:tcPr>
          <w:p>
            <w:pPr>
              <w:spacing w:after="60" w:before="60" w:line="259" w:lineRule="auto"/>
            </w:pPr>
            <w:r>
              <w:rPr>
                <w:rFonts w:ascii="Calibri" w:hAnsi="Calibri" w:eastAsia="Noto Sans CJK SC"/>
                <w:b w:val="0"/>
                <w:color w:val="172F3B"/>
                <w:sz w:val="16"/>
              </w:rPr>
              <w:t>3299.757</w:t>
            </w:r>
          </w:p>
        </w:tc>
      </w:tr>
      <w:tr>
        <w:trPr>
          <w:cantSplit/>
        </w:trPr>
        <w:tc>
          <w:tcPr>
            <w:tcW w:type="dxa" w:w="2891"/>
            <w:vAlign w:val="center"/>
            <w:shd w:fill="FFFFFF"/>
          </w:tcPr>
          <w:p>
            <w:pPr>
              <w:spacing w:after="60" w:before="60" w:line="259" w:lineRule="auto"/>
            </w:pPr>
            <w:r>
              <w:rPr>
                <w:rFonts w:ascii="Calibri" w:hAnsi="Calibri" w:eastAsia="Noto Sans CJK SC"/>
                <w:b w:val="0"/>
                <w:color w:val="172F3B"/>
                <w:sz w:val="16"/>
              </w:rPr>
              <w:t>MLP</w:t>
            </w:r>
          </w:p>
        </w:tc>
        <w:tc>
          <w:tcPr>
            <w:tcW w:type="dxa" w:w="1616"/>
            <w:vAlign w:val="center"/>
            <w:shd w:fill="FFFFFF"/>
          </w:tcPr>
          <w:p>
            <w:pPr>
              <w:spacing w:after="60" w:before="60" w:line="259" w:lineRule="auto"/>
            </w:pPr>
            <w:r>
              <w:rPr>
                <w:rFonts w:ascii="Calibri" w:hAnsi="Calibri" w:eastAsia="Noto Sans CJK SC"/>
                <w:b w:val="0"/>
                <w:color w:val="172F3B"/>
                <w:sz w:val="16"/>
              </w:rPr>
              <w:t>31.011</w:t>
            </w:r>
          </w:p>
        </w:tc>
        <w:tc>
          <w:tcPr>
            <w:tcW w:type="dxa" w:w="1616"/>
            <w:vAlign w:val="center"/>
            <w:shd w:fill="FFFFFF"/>
          </w:tcPr>
          <w:p>
            <w:pPr>
              <w:spacing w:after="60" w:before="60" w:line="259" w:lineRule="auto"/>
            </w:pPr>
            <w:r>
              <w:rPr>
                <w:rFonts w:ascii="Calibri" w:hAnsi="Calibri" w:eastAsia="Noto Sans CJK SC"/>
                <w:b w:val="0"/>
                <w:color w:val="172F3B"/>
                <w:sz w:val="16"/>
              </w:rPr>
              <w:t>34.610</w:t>
            </w:r>
          </w:p>
        </w:tc>
        <w:tc>
          <w:tcPr>
            <w:tcW w:type="dxa" w:w="1616"/>
            <w:vAlign w:val="center"/>
            <w:shd w:fill="FFFFFF"/>
          </w:tcPr>
          <w:p>
            <w:pPr>
              <w:spacing w:after="60" w:before="60" w:line="259" w:lineRule="auto"/>
            </w:pPr>
            <w:r>
              <w:rPr>
                <w:rFonts w:ascii="Calibri" w:hAnsi="Calibri" w:eastAsia="Noto Sans CJK SC"/>
                <w:b w:val="0"/>
                <w:color w:val="172F3B"/>
                <w:sz w:val="16"/>
              </w:rPr>
              <w:t>997.492</w:t>
            </w:r>
          </w:p>
        </w:tc>
        <w:tc>
          <w:tcPr>
            <w:tcW w:type="dxa" w:w="1616"/>
            <w:vAlign w:val="center"/>
            <w:shd w:fill="FFFFFF"/>
          </w:tcPr>
          <w:p>
            <w:pPr>
              <w:spacing w:after="60" w:before="60" w:line="259" w:lineRule="auto"/>
            </w:pPr>
            <w:r>
              <w:rPr>
                <w:rFonts w:ascii="Calibri" w:hAnsi="Calibri" w:eastAsia="Noto Sans CJK SC"/>
                <w:b w:val="0"/>
                <w:color w:val="172F3B"/>
                <w:sz w:val="16"/>
              </w:rPr>
              <w:t>3441.574</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Chronos-2</w:t>
            </w:r>
          </w:p>
        </w:tc>
        <w:tc>
          <w:tcPr>
            <w:tcW w:type="dxa" w:w="1616"/>
            <w:vAlign w:val="center"/>
            <w:shd w:fill="EEF4F7"/>
          </w:tcPr>
          <w:p>
            <w:pPr>
              <w:spacing w:after="60" w:before="60" w:line="259" w:lineRule="auto"/>
            </w:pPr>
            <w:r>
              <w:rPr>
                <w:rFonts w:ascii="Calibri" w:hAnsi="Calibri" w:eastAsia="Noto Sans CJK SC"/>
                <w:b w:val="0"/>
                <w:color w:val="172F3B"/>
                <w:sz w:val="16"/>
              </w:rPr>
              <w:t>37.096</w:t>
            </w:r>
          </w:p>
        </w:tc>
        <w:tc>
          <w:tcPr>
            <w:tcW w:type="dxa" w:w="1616"/>
            <w:vAlign w:val="center"/>
            <w:shd w:fill="EEF4F7"/>
          </w:tcPr>
          <w:p>
            <w:pPr>
              <w:spacing w:after="60" w:before="60" w:line="259" w:lineRule="auto"/>
            </w:pPr>
            <w:r>
              <w:rPr>
                <w:rFonts w:ascii="Calibri" w:hAnsi="Calibri" w:eastAsia="Noto Sans CJK SC"/>
                <w:b w:val="0"/>
                <w:color w:val="172F3B"/>
                <w:sz w:val="16"/>
              </w:rPr>
              <w:t>34.816</w:t>
            </w:r>
          </w:p>
        </w:tc>
        <w:tc>
          <w:tcPr>
            <w:tcW w:type="dxa" w:w="1616"/>
            <w:vAlign w:val="center"/>
            <w:shd w:fill="EEF4F7"/>
          </w:tcPr>
          <w:p>
            <w:pPr>
              <w:spacing w:after="60" w:before="60" w:line="259" w:lineRule="auto"/>
            </w:pPr>
            <w:r>
              <w:rPr>
                <w:rFonts w:ascii="Calibri" w:hAnsi="Calibri" w:eastAsia="Noto Sans CJK SC"/>
                <w:b w:val="0"/>
                <w:color w:val="172F3B"/>
                <w:sz w:val="16"/>
              </w:rPr>
              <w:t>986.653</w:t>
            </w:r>
          </w:p>
        </w:tc>
        <w:tc>
          <w:tcPr>
            <w:tcW w:type="dxa" w:w="1616"/>
            <w:vAlign w:val="center"/>
            <w:shd w:fill="EEF4F7"/>
          </w:tcPr>
          <w:p>
            <w:pPr>
              <w:spacing w:after="60" w:before="60" w:line="259" w:lineRule="auto"/>
            </w:pPr>
            <w:r>
              <w:rPr>
                <w:rFonts w:ascii="Calibri" w:hAnsi="Calibri" w:eastAsia="Noto Sans CJK SC"/>
                <w:b w:val="0"/>
                <w:color w:val="172F3B"/>
                <w:sz w:val="16"/>
              </w:rPr>
              <w:t>3429.433</w:t>
            </w:r>
          </w:p>
        </w:tc>
      </w:tr>
      <w:tr>
        <w:trPr>
          <w:cantSplit/>
        </w:trPr>
        <w:tc>
          <w:tcPr>
            <w:tcW w:type="dxa" w:w="2891"/>
            <w:vAlign w:val="center"/>
            <w:shd w:fill="FFFFFF"/>
          </w:tcPr>
          <w:p>
            <w:pPr>
              <w:spacing w:after="60" w:before="60" w:line="259" w:lineRule="auto"/>
            </w:pPr>
            <w:r>
              <w:rPr>
                <w:rFonts w:ascii="Calibri" w:hAnsi="Calibri" w:eastAsia="Noto Sans CJK SC"/>
                <w:b w:val="0"/>
                <w:color w:val="172F3B"/>
                <w:sz w:val="16"/>
              </w:rPr>
              <w:t>PriceFM（本地移植）</w:t>
            </w:r>
          </w:p>
        </w:tc>
        <w:tc>
          <w:tcPr>
            <w:tcW w:type="dxa" w:w="1616"/>
            <w:vAlign w:val="center"/>
            <w:shd w:fill="FFFFFF"/>
          </w:tcPr>
          <w:p>
            <w:pPr>
              <w:spacing w:after="60" w:before="60" w:line="259" w:lineRule="auto"/>
            </w:pPr>
            <w:r>
              <w:rPr>
                <w:rFonts w:ascii="Calibri" w:hAnsi="Calibri" w:eastAsia="Noto Sans CJK SC"/>
                <w:b w:val="0"/>
                <w:color w:val="172F3B"/>
                <w:sz w:val="16"/>
              </w:rPr>
              <w:t>36.841</w:t>
            </w:r>
          </w:p>
        </w:tc>
        <w:tc>
          <w:tcPr>
            <w:tcW w:type="dxa" w:w="1616"/>
            <w:vAlign w:val="center"/>
            <w:shd w:fill="FFFFFF"/>
          </w:tcPr>
          <w:p>
            <w:pPr>
              <w:spacing w:after="60" w:before="60" w:line="259" w:lineRule="auto"/>
            </w:pPr>
            <w:r>
              <w:rPr>
                <w:rFonts w:ascii="Calibri" w:hAnsi="Calibri" w:eastAsia="Noto Sans CJK SC"/>
                <w:b w:val="0"/>
                <w:color w:val="172F3B"/>
                <w:sz w:val="16"/>
              </w:rPr>
              <w:t>37.868</w:t>
            </w:r>
          </w:p>
        </w:tc>
        <w:tc>
          <w:tcPr>
            <w:tcW w:type="dxa" w:w="1616"/>
            <w:vAlign w:val="center"/>
            <w:shd w:fill="FFFFFF"/>
          </w:tcPr>
          <w:p>
            <w:pPr>
              <w:spacing w:after="60" w:before="60" w:line="259" w:lineRule="auto"/>
            </w:pPr>
            <w:r>
              <w:rPr>
                <w:rFonts w:ascii="Calibri" w:hAnsi="Calibri" w:eastAsia="Noto Sans CJK SC"/>
                <w:b w:val="0"/>
                <w:color w:val="172F3B"/>
                <w:sz w:val="16"/>
              </w:rPr>
              <w:t>1012.340</w:t>
            </w:r>
          </w:p>
        </w:tc>
        <w:tc>
          <w:tcPr>
            <w:tcW w:type="dxa" w:w="1616"/>
            <w:vAlign w:val="center"/>
            <w:shd w:fill="FFFFFF"/>
          </w:tcPr>
          <w:p>
            <w:pPr>
              <w:spacing w:after="60" w:before="60" w:line="259" w:lineRule="auto"/>
            </w:pPr>
            <w:r>
              <w:rPr>
                <w:rFonts w:ascii="Calibri" w:hAnsi="Calibri" w:eastAsia="Noto Sans CJK SC"/>
                <w:b w:val="0"/>
                <w:color w:val="172F3B"/>
                <w:sz w:val="16"/>
              </w:rPr>
              <w:t>3447.687</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Moirai-2</w:t>
            </w:r>
          </w:p>
        </w:tc>
        <w:tc>
          <w:tcPr>
            <w:tcW w:type="dxa" w:w="1616"/>
            <w:vAlign w:val="center"/>
            <w:shd w:fill="EEF4F7"/>
          </w:tcPr>
          <w:p>
            <w:pPr>
              <w:spacing w:after="60" w:before="60" w:line="259" w:lineRule="auto"/>
            </w:pPr>
            <w:r>
              <w:rPr>
                <w:rFonts w:ascii="Calibri" w:hAnsi="Calibri" w:eastAsia="Noto Sans CJK SC"/>
                <w:b w:val="0"/>
                <w:color w:val="172F3B"/>
                <w:sz w:val="16"/>
              </w:rPr>
              <w:t>58.653</w:t>
            </w:r>
          </w:p>
        </w:tc>
        <w:tc>
          <w:tcPr>
            <w:tcW w:type="dxa" w:w="1616"/>
            <w:vAlign w:val="center"/>
            <w:shd w:fill="EEF4F7"/>
          </w:tcPr>
          <w:p>
            <w:pPr>
              <w:spacing w:after="60" w:before="60" w:line="259" w:lineRule="auto"/>
            </w:pPr>
            <w:r>
              <w:rPr>
                <w:rFonts w:ascii="Calibri" w:hAnsi="Calibri" w:eastAsia="Noto Sans CJK SC"/>
                <w:b w:val="0"/>
                <w:color w:val="172F3B"/>
                <w:sz w:val="16"/>
              </w:rPr>
              <w:t>39.734</w:t>
            </w:r>
          </w:p>
        </w:tc>
        <w:tc>
          <w:tcPr>
            <w:tcW w:type="dxa" w:w="1616"/>
            <w:vAlign w:val="center"/>
            <w:shd w:fill="EEF4F7"/>
          </w:tcPr>
          <w:p>
            <w:pPr>
              <w:spacing w:after="60" w:before="60" w:line="259" w:lineRule="auto"/>
            </w:pPr>
            <w:r>
              <w:rPr>
                <w:rFonts w:ascii="Calibri" w:hAnsi="Calibri" w:eastAsia="Noto Sans CJK SC"/>
                <w:b w:val="0"/>
                <w:color w:val="172F3B"/>
                <w:sz w:val="16"/>
              </w:rPr>
              <w:t>1031.843</w:t>
            </w:r>
          </w:p>
        </w:tc>
        <w:tc>
          <w:tcPr>
            <w:tcW w:type="dxa" w:w="1616"/>
            <w:vAlign w:val="center"/>
            <w:shd w:fill="EEF4F7"/>
          </w:tcPr>
          <w:p>
            <w:pPr>
              <w:spacing w:after="60" w:before="60" w:line="259" w:lineRule="auto"/>
            </w:pPr>
            <w:r>
              <w:rPr>
                <w:rFonts w:ascii="Calibri" w:hAnsi="Calibri" w:eastAsia="Noto Sans CJK SC"/>
                <w:b w:val="0"/>
                <w:color w:val="172F3B"/>
                <w:sz w:val="16"/>
              </w:rPr>
              <w:t>3486.964</w:t>
            </w:r>
          </w:p>
        </w:tc>
      </w:tr>
      <w:tr>
        <w:trPr>
          <w:cantSplit/>
        </w:trPr>
        <w:tc>
          <w:tcPr>
            <w:tcW w:type="dxa" w:w="2891"/>
            <w:vAlign w:val="center"/>
            <w:shd w:fill="FFFFFF"/>
          </w:tcPr>
          <w:p>
            <w:pPr>
              <w:spacing w:after="60" w:before="60" w:line="259" w:lineRule="auto"/>
            </w:pPr>
            <w:r>
              <w:rPr>
                <w:rFonts w:ascii="Calibri" w:hAnsi="Calibri" w:eastAsia="Noto Sans CJK SC"/>
                <w:b w:val="0"/>
                <w:color w:val="172F3B"/>
                <w:sz w:val="16"/>
              </w:rPr>
              <w:t>DDNN-JSU</w:t>
            </w:r>
          </w:p>
        </w:tc>
        <w:tc>
          <w:tcPr>
            <w:tcW w:type="dxa" w:w="1616"/>
            <w:vAlign w:val="center"/>
            <w:shd w:fill="FFFFFF"/>
          </w:tcPr>
          <w:p>
            <w:pPr>
              <w:spacing w:after="60" w:before="60" w:line="259" w:lineRule="auto"/>
            </w:pPr>
            <w:r>
              <w:rPr>
                <w:rFonts w:ascii="Calibri" w:hAnsi="Calibri" w:eastAsia="Noto Sans CJK SC"/>
                <w:b w:val="0"/>
                <w:color w:val="172F3B"/>
                <w:sz w:val="16"/>
              </w:rPr>
              <w:t>31.076</w:t>
            </w:r>
          </w:p>
        </w:tc>
        <w:tc>
          <w:tcPr>
            <w:tcW w:type="dxa" w:w="1616"/>
            <w:vAlign w:val="center"/>
            <w:shd w:fill="FFFFFF"/>
          </w:tcPr>
          <w:p>
            <w:pPr>
              <w:spacing w:after="60" w:before="60" w:line="259" w:lineRule="auto"/>
            </w:pPr>
            <w:r>
              <w:rPr>
                <w:rFonts w:ascii="Calibri" w:hAnsi="Calibri" w:eastAsia="Noto Sans CJK SC"/>
                <w:b w:val="0"/>
                <w:color w:val="172F3B"/>
                <w:sz w:val="16"/>
              </w:rPr>
              <w:t>43.951</w:t>
            </w:r>
          </w:p>
        </w:tc>
        <w:tc>
          <w:tcPr>
            <w:tcW w:type="dxa" w:w="1616"/>
            <w:vAlign w:val="center"/>
            <w:shd w:fill="FFFFFF"/>
          </w:tcPr>
          <w:p>
            <w:pPr>
              <w:spacing w:after="60" w:before="60" w:line="259" w:lineRule="auto"/>
            </w:pPr>
            <w:r>
              <w:rPr>
                <w:rFonts w:ascii="Calibri" w:hAnsi="Calibri" w:eastAsia="Noto Sans CJK SC"/>
                <w:b w:val="0"/>
                <w:color w:val="172F3B"/>
                <w:sz w:val="16"/>
              </w:rPr>
              <w:t>1093.871</w:t>
            </w:r>
          </w:p>
        </w:tc>
        <w:tc>
          <w:tcPr>
            <w:tcW w:type="dxa" w:w="1616"/>
            <w:vAlign w:val="center"/>
            <w:shd w:fill="FFFFFF"/>
          </w:tcPr>
          <w:p>
            <w:pPr>
              <w:spacing w:after="60" w:before="60" w:line="259" w:lineRule="auto"/>
            </w:pPr>
            <w:r>
              <w:rPr>
                <w:rFonts w:ascii="Calibri" w:hAnsi="Calibri" w:eastAsia="Noto Sans CJK SC"/>
                <w:b w:val="0"/>
                <w:color w:val="172F3B"/>
                <w:sz w:val="16"/>
              </w:rPr>
              <w:t>3655.713</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Lasso-ARX72+CP</w:t>
            </w:r>
          </w:p>
        </w:tc>
        <w:tc>
          <w:tcPr>
            <w:tcW w:type="dxa" w:w="1616"/>
            <w:vAlign w:val="center"/>
            <w:shd w:fill="EEF4F7"/>
          </w:tcPr>
          <w:p>
            <w:pPr>
              <w:spacing w:after="60" w:before="60" w:line="259" w:lineRule="auto"/>
            </w:pPr>
            <w:r>
              <w:rPr>
                <w:rFonts w:ascii="Calibri" w:hAnsi="Calibri" w:eastAsia="Noto Sans CJK SC"/>
                <w:b w:val="0"/>
                <w:color w:val="172F3B"/>
                <w:sz w:val="16"/>
              </w:rPr>
              <w:t>79.193</w:t>
            </w:r>
          </w:p>
        </w:tc>
        <w:tc>
          <w:tcPr>
            <w:tcW w:type="dxa" w:w="1616"/>
            <w:vAlign w:val="center"/>
            <w:shd w:fill="EEF4F7"/>
          </w:tcPr>
          <w:p>
            <w:pPr>
              <w:spacing w:after="60" w:before="60" w:line="259" w:lineRule="auto"/>
            </w:pPr>
            <w:r>
              <w:rPr>
                <w:rFonts w:ascii="Calibri" w:hAnsi="Calibri" w:eastAsia="Noto Sans CJK SC"/>
                <w:b w:val="0"/>
                <w:color w:val="172F3B"/>
                <w:sz w:val="16"/>
              </w:rPr>
              <w:t>40.228</w:t>
            </w:r>
          </w:p>
        </w:tc>
        <w:tc>
          <w:tcPr>
            <w:tcW w:type="dxa" w:w="1616"/>
            <w:vAlign w:val="center"/>
            <w:shd w:fill="EEF4F7"/>
          </w:tcPr>
          <w:p>
            <w:pPr>
              <w:spacing w:after="60" w:before="60" w:line="259" w:lineRule="auto"/>
            </w:pPr>
            <w:r>
              <w:rPr>
                <w:rFonts w:ascii="Calibri" w:hAnsi="Calibri" w:eastAsia="Noto Sans CJK SC"/>
                <w:b w:val="0"/>
                <w:color w:val="172F3B"/>
                <w:sz w:val="16"/>
              </w:rPr>
              <w:t>1070.787</w:t>
            </w:r>
          </w:p>
        </w:tc>
        <w:tc>
          <w:tcPr>
            <w:tcW w:type="dxa" w:w="1616"/>
            <w:vAlign w:val="center"/>
            <w:shd w:fill="EEF4F7"/>
          </w:tcPr>
          <w:p>
            <w:pPr>
              <w:spacing w:after="60" w:before="60" w:line="259" w:lineRule="auto"/>
            </w:pPr>
            <w:r>
              <w:rPr>
                <w:rFonts w:ascii="Calibri" w:hAnsi="Calibri" w:eastAsia="Noto Sans CJK SC"/>
                <w:b w:val="0"/>
                <w:color w:val="172F3B"/>
                <w:sz w:val="16"/>
              </w:rPr>
              <w:t>3541.969</w:t>
            </w:r>
          </w:p>
        </w:tc>
      </w:tr>
      <w:tr>
        <w:trPr>
          <w:cantSplit/>
        </w:trPr>
        <w:tc>
          <w:tcPr>
            <w:tcW w:type="dxa" w:w="2891"/>
            <w:vAlign w:val="center"/>
            <w:shd w:fill="FFFFFF"/>
          </w:tcPr>
          <w:p>
            <w:pPr>
              <w:spacing w:after="60" w:before="60" w:line="259" w:lineRule="auto"/>
            </w:pPr>
            <w:r>
              <w:rPr>
                <w:rFonts w:ascii="Calibri" w:hAnsi="Calibri" w:eastAsia="Noto Sans CJK SC"/>
                <w:b w:val="0"/>
                <w:color w:val="172F3B"/>
                <w:sz w:val="16"/>
              </w:rPr>
              <w:t>N-HiTS+QRA</w:t>
            </w:r>
          </w:p>
        </w:tc>
        <w:tc>
          <w:tcPr>
            <w:tcW w:type="dxa" w:w="1616"/>
            <w:vAlign w:val="center"/>
            <w:shd w:fill="FFFFFF"/>
          </w:tcPr>
          <w:p>
            <w:pPr>
              <w:spacing w:after="60" w:before="60" w:line="259" w:lineRule="auto"/>
            </w:pPr>
            <w:r>
              <w:rPr>
                <w:rFonts w:ascii="Calibri" w:hAnsi="Calibri" w:eastAsia="Noto Sans CJK SC"/>
                <w:b w:val="0"/>
                <w:color w:val="172F3B"/>
                <w:sz w:val="16"/>
              </w:rPr>
              <w:t>84.214</w:t>
            </w:r>
          </w:p>
        </w:tc>
        <w:tc>
          <w:tcPr>
            <w:tcW w:type="dxa" w:w="1616"/>
            <w:vAlign w:val="center"/>
            <w:shd w:fill="FFFFFF"/>
          </w:tcPr>
          <w:p>
            <w:pPr>
              <w:spacing w:after="60" w:before="60" w:line="259" w:lineRule="auto"/>
            </w:pPr>
            <w:r>
              <w:rPr>
                <w:rFonts w:ascii="Calibri" w:hAnsi="Calibri" w:eastAsia="Noto Sans CJK SC"/>
                <w:b w:val="0"/>
                <w:color w:val="172F3B"/>
                <w:sz w:val="16"/>
              </w:rPr>
              <w:t>43.577</w:t>
            </w:r>
          </w:p>
        </w:tc>
        <w:tc>
          <w:tcPr>
            <w:tcW w:type="dxa" w:w="1616"/>
            <w:vAlign w:val="center"/>
            <w:shd w:fill="FFFFFF"/>
          </w:tcPr>
          <w:p>
            <w:pPr>
              <w:spacing w:after="60" w:before="60" w:line="259" w:lineRule="auto"/>
            </w:pPr>
            <w:r>
              <w:rPr>
                <w:rFonts w:ascii="Calibri" w:hAnsi="Calibri" w:eastAsia="Noto Sans CJK SC"/>
                <w:b w:val="0"/>
                <w:color w:val="172F3B"/>
                <w:sz w:val="16"/>
              </w:rPr>
              <w:t>972.218</w:t>
            </w:r>
          </w:p>
        </w:tc>
        <w:tc>
          <w:tcPr>
            <w:tcW w:type="dxa" w:w="1616"/>
            <w:vAlign w:val="center"/>
            <w:shd w:fill="FFFFFF"/>
          </w:tcPr>
          <w:p>
            <w:pPr>
              <w:spacing w:after="60" w:before="60" w:line="259" w:lineRule="auto"/>
            </w:pPr>
            <w:r>
              <w:rPr>
                <w:rFonts w:ascii="Calibri" w:hAnsi="Calibri" w:eastAsia="Noto Sans CJK SC"/>
                <w:b w:val="0"/>
                <w:color w:val="172F3B"/>
                <w:sz w:val="16"/>
              </w:rPr>
              <w:t>3390.010</w:t>
            </w:r>
          </w:p>
        </w:tc>
      </w:tr>
      <w:tr>
        <w:trPr>
          <w:cantSplit/>
        </w:trPr>
        <w:tc>
          <w:tcPr>
            <w:tcW w:type="dxa" w:w="2891"/>
            <w:vAlign w:val="center"/>
            <w:shd w:fill="EEF4F7"/>
          </w:tcPr>
          <w:p>
            <w:pPr>
              <w:spacing w:after="60" w:before="60" w:line="259" w:lineRule="auto"/>
            </w:pPr>
            <w:r>
              <w:rPr>
                <w:rFonts w:ascii="Calibri" w:hAnsi="Calibri" w:eastAsia="Noto Sans CJK SC"/>
                <w:b w:val="0"/>
                <w:color w:val="172F3B"/>
                <w:sz w:val="16"/>
              </w:rPr>
              <w:t>TimesFM-2.5+XReg</w:t>
            </w:r>
          </w:p>
        </w:tc>
        <w:tc>
          <w:tcPr>
            <w:tcW w:type="dxa" w:w="1616"/>
            <w:vAlign w:val="center"/>
            <w:shd w:fill="EEF4F7"/>
          </w:tcPr>
          <w:p>
            <w:pPr>
              <w:spacing w:after="60" w:before="60" w:line="259" w:lineRule="auto"/>
            </w:pPr>
            <w:r>
              <w:rPr>
                <w:rFonts w:ascii="Calibri" w:hAnsi="Calibri" w:eastAsia="Noto Sans CJK SC"/>
                <w:b w:val="0"/>
                <w:color w:val="172F3B"/>
                <w:sz w:val="16"/>
              </w:rPr>
              <w:t>52.245</w:t>
            </w:r>
          </w:p>
        </w:tc>
        <w:tc>
          <w:tcPr>
            <w:tcW w:type="dxa" w:w="1616"/>
            <w:vAlign w:val="center"/>
            <w:shd w:fill="EEF4F7"/>
          </w:tcPr>
          <w:p>
            <w:pPr>
              <w:spacing w:after="60" w:before="60" w:line="259" w:lineRule="auto"/>
            </w:pPr>
            <w:r>
              <w:rPr>
                <w:rFonts w:ascii="Calibri" w:hAnsi="Calibri" w:eastAsia="Noto Sans CJK SC"/>
                <w:b w:val="0"/>
                <w:color w:val="172F3B"/>
                <w:sz w:val="16"/>
              </w:rPr>
              <w:t>66.620</w:t>
            </w:r>
          </w:p>
        </w:tc>
        <w:tc>
          <w:tcPr>
            <w:tcW w:type="dxa" w:w="1616"/>
            <w:vAlign w:val="center"/>
            <w:shd w:fill="EEF4F7"/>
          </w:tcPr>
          <w:p>
            <w:pPr>
              <w:spacing w:after="60" w:before="60" w:line="259" w:lineRule="auto"/>
            </w:pPr>
            <w:r>
              <w:rPr>
                <w:rFonts w:ascii="Calibri" w:hAnsi="Calibri" w:eastAsia="Noto Sans CJK SC"/>
                <w:b w:val="0"/>
                <w:color w:val="172F3B"/>
                <w:sz w:val="16"/>
              </w:rPr>
              <w:t>980.398</w:t>
            </w:r>
          </w:p>
        </w:tc>
        <w:tc>
          <w:tcPr>
            <w:tcW w:type="dxa" w:w="1616"/>
            <w:vAlign w:val="center"/>
            <w:shd w:fill="EEF4F7"/>
          </w:tcPr>
          <w:p>
            <w:pPr>
              <w:spacing w:after="60" w:before="60" w:line="259" w:lineRule="auto"/>
            </w:pPr>
            <w:r>
              <w:rPr>
                <w:rFonts w:ascii="Calibri" w:hAnsi="Calibri" w:eastAsia="Noto Sans CJK SC"/>
                <w:b w:val="0"/>
                <w:color w:val="172F3B"/>
                <w:sz w:val="16"/>
              </w:rPr>
              <w:t>3384.338</w:t>
            </w:r>
          </w:p>
        </w:tc>
      </w:tr>
    </w:tbl>
    <w:p>
      <w:pPr>
        <w:spacing w:after="0"/>
      </w:pPr>
    </w:p>
    <w:sectPr w:rsidR="00FC693F" w:rsidRPr="0006063C" w:rsidSect="00034616">
      <w:headerReference w:type="default" r:id="rId9"/>
      <w:footerReference w:type="default" r:id="rId10"/>
      <w:pgSz w:w="11906" w:h="16838"/>
      <w:pgMar w:top="1191" w:right="1134" w:bottom="1077" w:left="1219"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2026年10月26日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研究阶段汇报  |  电价尖峰与概率预测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Calibri" w:hAnsi="Calibri"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eastAsia="Noto Sans CJK SC"/>
      <w:b/>
      <w:bCs/>
      <w:color w:val="143E52"/>
      <w:sz w:val="3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eastAsia="Noto Sans CJK SC"/>
      <w:b/>
      <w:bCs/>
      <w:color w:val="1E687E"/>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eastAsia="Noto Sans CJK SC"/>
      <w:b/>
      <w:bCs/>
      <w:color w:val="1E68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60"/>
      <w:contextualSpacing/>
    </w:pPr>
    <w:rPr>
      <w:rFonts w:asciiTheme="majorHAnsi" w:eastAsiaTheme="majorEastAsia" w:hAnsiTheme="majorHAnsi" w:cstheme="majorBidi" w:ascii="Calibri" w:hAnsi="Calibri" w:eastAsia="Noto Sans CJK SC"/>
      <w:color w:val="143E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60" w:after="140"/>
    </w:pPr>
    <w:rPr>
      <w:rFonts w:asciiTheme="majorHAnsi" w:eastAsiaTheme="majorEastAsia" w:hAnsiTheme="majorHAnsi" w:cstheme="majorBidi" w:ascii="Calibri" w:hAnsi="Calibri" w:eastAsia="Noto Sans CJK SC"/>
      <w:i/>
      <w:iCs/>
      <w:color w:val="5270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93" w:lineRule="auto"/>
    </w:pPr>
    <w:rPr>
      <w:rFonts w:ascii="Calibri" w:hAnsi="Calibri"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Noto Sans CJK SC"/>
      <w:b/>
      <w:bCs/>
      <w:color w:val="5270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doi.org/10.1016/j.apenergy.2021.116983" TargetMode="External"/><Relationship Id="rId17" Type="http://schemas.openxmlformats.org/officeDocument/2006/relationships/hyperlink" Target="https://doi.org/10.1016/j.ijforecast.2014.08.008" TargetMode="External"/><Relationship Id="rId18" Type="http://schemas.openxmlformats.org/officeDocument/2006/relationships/hyperlink" Target="https://doi.org/10.1016/j.rser.2017.05.234" TargetMode="External"/><Relationship Id="rId19" Type="http://schemas.openxmlformats.org/officeDocument/2006/relationships/hyperlink" Target="https://proceedings.mlr.press/v306/zhang26co.html" TargetMode="External"/><Relationship Id="rId20" Type="http://schemas.openxmlformats.org/officeDocument/2006/relationships/hyperlink" Target="https://www.aemo.com.au/energy-systems/electricity/national-electricity-market-nem/data-nem/aggregated-data" TargetMode="External"/><Relationship Id="rId21" Type="http://schemas.openxmlformats.org/officeDocument/2006/relationships/hyperlink" Target="https://doi.org/10.1609/aaai.v37i9.26317" TargetMode="External"/><Relationship Id="rId22" Type="http://schemas.openxmlformats.org/officeDocument/2006/relationships/hyperlink" Target="https://doi.org/10.1038/323533a0" TargetMode="External"/><Relationship Id="rId23" Type="http://schemas.openxmlformats.org/officeDocument/2006/relationships/hyperlink" Target="https://doi.org/10.1111/j.2517-6161.1996.tb02080.x" TargetMode="External"/><Relationship Id="rId24" Type="http://schemas.openxmlformats.org/officeDocument/2006/relationships/hyperlink" Target="https://doi.org/10.1080/01621459.2017.1307116" TargetMode="External"/><Relationship Id="rId25" Type="http://schemas.openxmlformats.org/officeDocument/2006/relationships/hyperlink" Target="https://doi.org/10.1016/j.softx.2025.102200" TargetMode="External"/><Relationship Id="rId26" Type="http://schemas.openxmlformats.org/officeDocument/2006/relationships/hyperlink" Target="https://proceedings.neurips.cc/paper_files/paper/2017/hash/6449f44a102fde848669bdd9eb6b76fa-Abstract.html" TargetMode="External"/><Relationship Id="rId27" Type="http://schemas.openxmlformats.org/officeDocument/2006/relationships/hyperlink" Target="https://doi.org/10.1145/2939672.2939785" TargetMode="External"/><Relationship Id="rId28" Type="http://schemas.openxmlformats.org/officeDocument/2006/relationships/hyperlink" Target="https://doi.org/10.1109/ACCESS.2026.3672716" TargetMode="External"/><Relationship Id="rId29" Type="http://schemas.openxmlformats.org/officeDocument/2006/relationships/hyperlink" Target="https://doi.org/10.1007/s00180-014-0523-0" TargetMode="External"/><Relationship Id="rId30" Type="http://schemas.openxmlformats.org/officeDocument/2006/relationships/hyperlink" Target="https://arxiv.org/abs/2211.14730" TargetMode="External"/><Relationship Id="rId31" Type="http://schemas.openxmlformats.org/officeDocument/2006/relationships/hyperlink" Target="https://openreview.net/forum?id=cGDAkQo1C0p" TargetMode="External"/><Relationship Id="rId32" Type="http://schemas.openxmlformats.org/officeDocument/2006/relationships/hyperlink" Target="https://arxiv.org/abs/2508.17515" TargetMode="External"/><Relationship Id="rId33" Type="http://schemas.openxmlformats.org/officeDocument/2006/relationships/hyperlink" Target="https://proceedings.neurips.cc/paper_files/paper/2024/hash/0113ef4642264adc2e6924a3cbbdf532-Abstract-Conference.html" TargetMode="External"/><Relationship Id="rId34" Type="http://schemas.openxmlformats.org/officeDocument/2006/relationships/hyperlink" Target="https://arxiv.org/abs/2508.04875" TargetMode="External"/><Relationship Id="rId35" Type="http://schemas.openxmlformats.org/officeDocument/2006/relationships/hyperlink" Target="https://doi.org/10.1016/j.eneco.2023.106843" TargetMode="External"/><Relationship Id="rId36" Type="http://schemas.openxmlformats.org/officeDocument/2006/relationships/hyperlink" Target="https://doi.org/10.1609/aaai.v37i6.25854" TargetMode="External"/><Relationship Id="rId37" Type="http://schemas.openxmlformats.org/officeDocument/2006/relationships/hyperlink" Target="https://proceedings.mlr.press/v48/gal16.html" TargetMode="External"/><Relationship Id="rId38" Type="http://schemas.openxmlformats.org/officeDocument/2006/relationships/hyperlink" Target="https://arxiv.org/abs/2604.14739" TargetMode="External"/><Relationship Id="rId39" Type="http://schemas.openxmlformats.org/officeDocument/2006/relationships/hyperlink" Target="https://doi.org/10.1145/3765611.3815392" TargetMode="External"/><Relationship Id="rId40" Type="http://schemas.openxmlformats.org/officeDocument/2006/relationships/hyperlink" Target="https://arxiv.org/abs/2605.13986" TargetMode="External"/><Relationship Id="rId41" Type="http://schemas.openxmlformats.org/officeDocument/2006/relationships/hyperlink" Target="https://www.nature.com/articles/s41586-024-08328-6" TargetMode="External"/><Relationship Id="rId42" Type="http://schemas.openxmlformats.org/officeDocument/2006/relationships/hyperlink" Target="https://arxiv.org/abs/2510.15821" TargetMode="External"/><Relationship Id="rId43" Type="http://schemas.openxmlformats.org/officeDocument/2006/relationships/hyperlink" Target="https://arxiv.org/abs/2511.11698" TargetMode="External"/><Relationship Id="rId44" Type="http://schemas.openxmlformats.org/officeDocument/2006/relationships/hyperlink" Target="https://proceedings.mlr.press/v235/das24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