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门店线索分析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门店销售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总线索数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db_ods_market.user_clues表audit_status=2审核状态为审核通过的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进店线索数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db_ods_market.user_clues表is_into_stores=1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线索转化数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db_ods_market.user_clues表follow_up_status=4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转化率=线索转化数/总线索数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成交客户数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=线索转化数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门店数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线索的门店数（去重）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环比差值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成交均价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成交金额/订单数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环比差值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销售金额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db_ods_market.declaration_info表SUM(goods_amount)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增长率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成交台量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db_ods_market.declaration_info表SUM(goods_num)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增长率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表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db_ods_market.user_clues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所有的线索（审核，不审核，线索的总数从这里来）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主键id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follow_date	跟进时间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计算 线索平均跟进时间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follow_up_status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跟进状态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audit_status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所有的数据取审核通过的线索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db_ods_market.clues_follow_up线索更近表	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与user_clues表关联根据source_id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db_ods_market.declaration_info 报单表	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线索成交之后的订单（头）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db_ods_market.goods_declaration 明细表（线索成交后的）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关键指标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跟进线索数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除了follow_up_state=0 的线索，其他状态都取数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上门设计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上门设计数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service_action字段包含2的线索数量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上门设计转化率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分子：成交线索数，分母：上门设计数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进店线索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进店线索数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is_into_stores=1线索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进店线索转化率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分子：成交线索数，分母：进店线索数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录入线索转化率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成交数/总线索数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