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FCD228A" w14:textId="77777777" w:rsidR="00B43890" w:rsidRDefault="00000000">
      <w:pPr>
        <w:pStyle w:val="Heading1"/>
        <w:widowControl w:val="0"/>
        <w:spacing w:line="240" w:lineRule="auto"/>
        <w:rPr>
          <w:rFonts w:ascii="Times New Roman" w:eastAsia="Times New Roman" w:hAnsi="Times New Roman" w:cs="Times New Roman"/>
          <w:color w:val="000000"/>
          <w:sz w:val="24"/>
          <w:szCs w:val="24"/>
        </w:rPr>
      </w:pPr>
      <w:bookmarkStart w:id="0" w:name="_2w34uqfd6y2n" w:colFirst="0" w:colLast="0"/>
      <w:bookmarkEnd w:id="0"/>
      <w:r>
        <w:rPr>
          <w:rFonts w:ascii="Times New Roman" w:eastAsia="Times New Roman" w:hAnsi="Times New Roman" w:cs="Times New Roman"/>
          <w:color w:val="000000"/>
          <w:sz w:val="24"/>
          <w:szCs w:val="24"/>
        </w:rPr>
        <w:t>ENERGY 393T/695T: Energy Modeling Team 1</w:t>
      </w:r>
    </w:p>
    <w:p w14:paraId="4BB2BCF5" w14:textId="77777777" w:rsidR="00B43890" w:rsidRDefault="00000000">
      <w:pPr>
        <w:keepNext/>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Grant, B; Kuykendall, R; Lin, Z</w:t>
      </w:r>
    </w:p>
    <w:p w14:paraId="2307DF05" w14:textId="77777777" w:rsidR="00B43890" w:rsidRDefault="00000000">
      <w:pPr>
        <w:keepNext/>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Fall 2025 Final Report</w:t>
      </w:r>
    </w:p>
    <w:p w14:paraId="00037865" w14:textId="77777777" w:rsidR="00B43890" w:rsidRDefault="00000000">
      <w:pPr>
        <w:pStyle w:val="Heading1"/>
        <w:spacing w:line="240" w:lineRule="auto"/>
        <w:rPr>
          <w:rFonts w:ascii="Times New Roman" w:eastAsia="Times New Roman" w:hAnsi="Times New Roman" w:cs="Times New Roman"/>
          <w:b/>
          <w:bCs/>
          <w:color w:val="000000"/>
          <w:sz w:val="32"/>
          <w:szCs w:val="32"/>
        </w:rPr>
      </w:pPr>
      <w:bookmarkStart w:id="1" w:name="_45kwilsgnzot" w:colFirst="0" w:colLast="0"/>
      <w:bookmarkEnd w:id="1"/>
      <w:r>
        <w:rPr>
          <w:rFonts w:ascii="Times New Roman" w:eastAsia="Times New Roman" w:hAnsi="Times New Roman" w:cs="Times New Roman"/>
          <w:b/>
          <w:bCs/>
          <w:color w:val="000000"/>
          <w:sz w:val="32"/>
          <w:szCs w:val="32"/>
        </w:rPr>
        <w:t>Executive Summary</w:t>
      </w:r>
    </w:p>
    <w:p w14:paraId="202E694D" w14:textId="77777777" w:rsidR="00B43890" w:rsidRDefault="00000000">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Cape Town experiences the dual narratives of energy crisis and transition. Since 2007, insufficient grid capacity has led to frequent load shedding, with significant socio-economic implications. South Africa (SA) ’s efforts to transition away from coal provide further context for Cape Town’s energy crisis. High-income households invest in solar home systems and are less affected by load shedding than low-income households, many of whom already experience energy poverty. As Cape Town executes its energy transition, the city is dedicated to ensuring a “just transition,” which promotes a cleaner environment while ensuring that the benefits are felt by all Cape </w:t>
      </w:r>
      <w:proofErr w:type="spellStart"/>
      <w:r>
        <w:rPr>
          <w:rFonts w:ascii="Times New Roman" w:eastAsia="Times New Roman" w:hAnsi="Times New Roman" w:cs="Times New Roman"/>
          <w:sz w:val="24"/>
          <w:szCs w:val="24"/>
        </w:rPr>
        <w:t>Townians</w:t>
      </w:r>
      <w:proofErr w:type="spellEnd"/>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Our research aims to identify the impacts of three policy scenarios that prioritize large-scale solar adoption, utility revenue protection, and solar adoption by low-income households. Identifying the implications of rate structures and incentives will help inform Cape Town’s energy transition policy and explore how green technologies can be implemented to simultaneously promote climate health and social justice. </w:t>
      </w:r>
    </w:p>
    <w:p w14:paraId="2F8A61B4" w14:textId="77777777" w:rsidR="00B43890" w:rsidRDefault="00000000">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literature review explores how various rate structures and incentives for distributed energy resources (DERs), specifically household rooftop solar, can support adoption rates and outcomes for different populations. Research was examined locally in Cape Town and expanded in geographical scope globally when literature gaps </w:t>
      </w:r>
      <w:proofErr w:type="gramStart"/>
      <w:r>
        <w:rPr>
          <w:rFonts w:ascii="Times New Roman" w:eastAsia="Times New Roman" w:hAnsi="Times New Roman" w:cs="Times New Roman"/>
          <w:sz w:val="24"/>
          <w:szCs w:val="24"/>
        </w:rPr>
        <w:t>existed</w:t>
      </w:r>
      <w:proofErr w:type="gramEnd"/>
      <w:r>
        <w:rPr>
          <w:rFonts w:ascii="Times New Roman" w:eastAsia="Times New Roman" w:hAnsi="Times New Roman" w:cs="Times New Roman"/>
          <w:sz w:val="24"/>
          <w:szCs w:val="24"/>
        </w:rPr>
        <w:t xml:space="preserve"> or significant findings were relevant to the future design of the team’s work. The initial portion of the review covers the landscape of incentive designs and offerings in Cape Town and abroad. From that initial foundation, causal links between these incentives and adoption were studied to understand the nuances of which/where incentives were successful in increasing home solar adoption. These relationships were then expanded to hybrid-PV battery systems and to the effectiveness of household PV in combating load shedding. Finally, a review of previous work that utilized the Low Emissions Analysis Platform (LEAP) and other energy modeling tools was taken to inform the possibilities and limitations of the incentive scenarios. </w:t>
      </w:r>
    </w:p>
    <w:p w14:paraId="6AD2F690" w14:textId="77777777" w:rsidR="00B43890" w:rsidRDefault="00000000">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Drawing on current data on SHSs in Cape Town and applying growth projections through 204, we propose to model four policy scenarios: business-as-usual (BAU), pro-solar incentives, utility protection, and targeted incentives for low- and middle-income households.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We expect solar capacity to continue to grow across all scenarios. The magnitude of the growth will vary across policy scenarios, ranging from approximately 7.42 to 9.52 MW, about a 15 to 50 percent increase from the solar capacity in 2023. When evaluating modelled results, the social justice and environmental implications of each scenario must be assessed in tandem with changes in solar capacity.</w:t>
      </w:r>
    </w:p>
    <w:p w14:paraId="3A49F566"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Preliminary results are limited, but the various capacity growth outcomes of each incentive design reveal large disparities across targeted populations that promote the greatest capacity growth and highlight trade-offs between advancing equity and supporting capacity growth. </w:t>
      </w:r>
      <w:proofErr w:type="gramStart"/>
      <w:r>
        <w:rPr>
          <w:rFonts w:ascii="Times New Roman" w:eastAsia="Times New Roman" w:hAnsi="Times New Roman" w:cs="Times New Roman"/>
          <w:sz w:val="24"/>
          <w:szCs w:val="24"/>
        </w:rPr>
        <w:t>Final results</w:t>
      </w:r>
      <w:proofErr w:type="gramEnd"/>
      <w:r>
        <w:rPr>
          <w:rFonts w:ascii="Times New Roman" w:eastAsia="Times New Roman" w:hAnsi="Times New Roman" w:cs="Times New Roman"/>
          <w:sz w:val="24"/>
          <w:szCs w:val="24"/>
        </w:rPr>
        <w:t xml:space="preserve"> will likely differ once updated data on the number and distribution of PV systems are incorporated and analyzed in the LEAP model.</w:t>
      </w:r>
      <w:r>
        <w:br w:type="page"/>
      </w:r>
    </w:p>
    <w:p w14:paraId="42582EAF" w14:textId="77777777" w:rsidR="00B43890" w:rsidRDefault="00000000">
      <w:pPr>
        <w:pStyle w:val="Heading1"/>
        <w:spacing w:line="240" w:lineRule="auto"/>
        <w:rPr>
          <w:rFonts w:ascii="Times New Roman" w:eastAsia="Times New Roman" w:hAnsi="Times New Roman" w:cs="Times New Roman"/>
          <w:b/>
          <w:bCs/>
          <w:color w:val="000000"/>
          <w:sz w:val="32"/>
          <w:szCs w:val="32"/>
        </w:rPr>
      </w:pPr>
      <w:bookmarkStart w:id="2" w:name="_o87e7sajj0nk" w:colFirst="0" w:colLast="0"/>
      <w:bookmarkEnd w:id="2"/>
      <w:r>
        <w:rPr>
          <w:rFonts w:ascii="Times New Roman" w:eastAsia="Times New Roman" w:hAnsi="Times New Roman" w:cs="Times New Roman"/>
          <w:b/>
          <w:bCs/>
          <w:color w:val="000000"/>
          <w:sz w:val="32"/>
          <w:szCs w:val="32"/>
        </w:rPr>
        <w:lastRenderedPageBreak/>
        <w:t>Introduction</w:t>
      </w:r>
    </w:p>
    <w:p w14:paraId="4C03C73D"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energy access, schoolchildren study after dark, households connect to the internet and technology, businesses thrive on the local and national levels, spurring economic growth. The significance of energy access to socio-economic growth increases with rising energy demand. Since 1950, global energy consumption, primarily from coal, gas, and biomass, has increased by 542 percent, driving high levels of greenhouse gas emissions. Energy use accounts for 76 percent of greenhouse gas emissions, a number that is only growing as energy access and use increase with development (Stanford University 2025). Emerging technologies such as solar PV systems provide alternative energy sources that contribute to both environmental and anthropogenic health. These two characteristics of energy – its importance for national and individual development and its impact on the environment during generation – must be addressed in tandem to meet society's and the planet's growing needs. </w:t>
      </w:r>
    </w:p>
    <w:p w14:paraId="47FF5CEE"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an emerging market transitioning away from coal, SA demonstrates how renewable energy sources, particularly solar, can replace coal to further facilitate economic growth. The nation’s economy depends on electricity, and coal-fired power sources generate about 85 percent of SA’s electricity (International Trade Administration 2024). In 2023, SA released almost 365 million tons of carbon dioxide, ranking 15th globally and more than any other country in Africa (International Energy Agency n.d.). High levels of carbon emissions reflect the high demand for electricity in SA. However, because of SA’s lack of generation capacity and aging infrastructure, the supply-demand gap in SA has exceeded 10 GW. To manage such gaps, the local utility implements a system of "stages," each corresponding to a mandatory load shedding of 1,000 MW (</w:t>
      </w:r>
      <w:proofErr w:type="spellStart"/>
      <w:r>
        <w:rPr>
          <w:rFonts w:ascii="Times New Roman" w:eastAsia="Times New Roman" w:hAnsi="Times New Roman" w:cs="Times New Roman"/>
          <w:color w:val="222222"/>
          <w:sz w:val="24"/>
          <w:szCs w:val="24"/>
          <w:highlight w:val="white"/>
        </w:rPr>
        <w:t>Apeh</w:t>
      </w:r>
      <w:proofErr w:type="spellEnd"/>
      <w:r>
        <w:rPr>
          <w:rFonts w:ascii="Times New Roman" w:eastAsia="Times New Roman" w:hAnsi="Times New Roman" w:cs="Times New Roman"/>
          <w:color w:val="222222"/>
          <w:sz w:val="24"/>
          <w:szCs w:val="24"/>
          <w:highlight w:val="white"/>
        </w:rPr>
        <w:t xml:space="preserve"> &amp; </w:t>
      </w:r>
      <w:proofErr w:type="spellStart"/>
      <w:r>
        <w:rPr>
          <w:rFonts w:ascii="Times New Roman" w:eastAsia="Times New Roman" w:hAnsi="Times New Roman" w:cs="Times New Roman"/>
          <w:color w:val="222222"/>
          <w:sz w:val="24"/>
          <w:szCs w:val="24"/>
          <w:highlight w:val="white"/>
        </w:rPr>
        <w:t>Nwulu</w:t>
      </w:r>
      <w:proofErr w:type="spellEnd"/>
      <w:r>
        <w:rPr>
          <w:rFonts w:ascii="Times New Roman" w:eastAsia="Times New Roman" w:hAnsi="Times New Roman" w:cs="Times New Roman"/>
          <w:color w:val="222222"/>
          <w:sz w:val="24"/>
          <w:szCs w:val="24"/>
          <w:highlight w:val="white"/>
        </w:rPr>
        <w:t xml:space="preserve"> 2024; Eskom, n.d.)</w:t>
      </w:r>
      <w:r>
        <w:rPr>
          <w:rFonts w:ascii="Times New Roman" w:eastAsia="Times New Roman" w:hAnsi="Times New Roman" w:cs="Times New Roman"/>
          <w:sz w:val="24"/>
          <w:szCs w:val="24"/>
        </w:rPr>
        <w:t>. The frequent Stage 2 and Stage 3 events experienced by SA residents represent a loss of 2,000 to 3,000 MW from the national grid, forcing consumers to endure multiple scheduled outages per day (</w:t>
      </w:r>
      <w:r>
        <w:rPr>
          <w:rFonts w:ascii="Times New Roman" w:eastAsia="Times New Roman" w:hAnsi="Times New Roman" w:cs="Times New Roman"/>
          <w:color w:val="222222"/>
          <w:sz w:val="24"/>
          <w:szCs w:val="24"/>
          <w:highlight w:val="white"/>
        </w:rPr>
        <w:t>Eskom, n.d.; Twala et al., 2023)</w:t>
      </w:r>
      <w:r>
        <w:rPr>
          <w:rFonts w:ascii="Times New Roman" w:eastAsia="Times New Roman" w:hAnsi="Times New Roman" w:cs="Times New Roman"/>
          <w:sz w:val="24"/>
          <w:szCs w:val="24"/>
        </w:rPr>
        <w:t>. In just the first half of 2023, residents in SA experienced more than 1030 hours of load shedding outages due to inadequate power supply from the national grid (</w:t>
      </w:r>
      <w:r>
        <w:rPr>
          <w:rFonts w:ascii="Times New Roman" w:eastAsia="Times New Roman" w:hAnsi="Times New Roman" w:cs="Times New Roman"/>
          <w:color w:val="222222"/>
          <w:sz w:val="24"/>
          <w:szCs w:val="24"/>
          <w:highlight w:val="white"/>
        </w:rPr>
        <w:t>Twala et al., 2023</w:t>
      </w:r>
      <w:r>
        <w:rPr>
          <w:rFonts w:ascii="Times New Roman" w:eastAsia="Times New Roman" w:hAnsi="Times New Roman" w:cs="Times New Roman"/>
          <w:sz w:val="24"/>
          <w:szCs w:val="24"/>
        </w:rPr>
        <w:t>). These frequent and prolonged disruptions impose severe financial losses on entrepreneurs and corpo</w:t>
      </w:r>
      <w:r>
        <w:t xml:space="preserve">rations unable to afford the cost of expensive backup generation, while severely affecting residential consumers’ daily lives without mitigation measures </w:t>
      </w:r>
      <w:r>
        <w:rPr>
          <w:rFonts w:ascii="Times New Roman" w:eastAsia="Times New Roman" w:hAnsi="Times New Roman" w:cs="Times New Roman"/>
          <w:sz w:val="24"/>
          <w:szCs w:val="24"/>
        </w:rPr>
        <w:t>(</w:t>
      </w:r>
      <w:proofErr w:type="spellStart"/>
      <w:r>
        <w:rPr>
          <w:rFonts w:ascii="Times New Roman" w:eastAsia="Times New Roman" w:hAnsi="Times New Roman" w:cs="Times New Roman"/>
          <w:color w:val="222222"/>
          <w:sz w:val="24"/>
          <w:szCs w:val="24"/>
          <w:highlight w:val="white"/>
        </w:rPr>
        <w:t>Apeh</w:t>
      </w:r>
      <w:proofErr w:type="spellEnd"/>
      <w:r>
        <w:rPr>
          <w:rFonts w:ascii="Times New Roman" w:eastAsia="Times New Roman" w:hAnsi="Times New Roman" w:cs="Times New Roman"/>
          <w:color w:val="222222"/>
          <w:sz w:val="24"/>
          <w:szCs w:val="24"/>
          <w:highlight w:val="white"/>
        </w:rPr>
        <w:t xml:space="preserve"> &amp; </w:t>
      </w:r>
      <w:proofErr w:type="spellStart"/>
      <w:r>
        <w:rPr>
          <w:rFonts w:ascii="Times New Roman" w:eastAsia="Times New Roman" w:hAnsi="Times New Roman" w:cs="Times New Roman"/>
          <w:color w:val="222222"/>
          <w:sz w:val="24"/>
          <w:szCs w:val="24"/>
          <w:highlight w:val="white"/>
        </w:rPr>
        <w:t>Nwulu</w:t>
      </w:r>
      <w:proofErr w:type="spellEnd"/>
      <w:r>
        <w:rPr>
          <w:rFonts w:ascii="Times New Roman" w:eastAsia="Times New Roman" w:hAnsi="Times New Roman" w:cs="Times New Roman"/>
          <w:color w:val="222222"/>
          <w:sz w:val="24"/>
          <w:szCs w:val="24"/>
          <w:highlight w:val="white"/>
        </w:rPr>
        <w:t xml:space="preserve">, 2024; Twala et al., 2023; </w:t>
      </w:r>
      <w:r>
        <w:rPr>
          <w:rFonts w:ascii="Times New Roman" w:eastAsia="Times New Roman" w:hAnsi="Times New Roman" w:cs="Times New Roman"/>
          <w:sz w:val="24"/>
          <w:szCs w:val="24"/>
        </w:rPr>
        <w:t xml:space="preserve">Walsh, Theron, and </w:t>
      </w:r>
      <w:proofErr w:type="spellStart"/>
      <w:r>
        <w:rPr>
          <w:rFonts w:ascii="Times New Roman" w:eastAsia="Times New Roman" w:hAnsi="Times New Roman" w:cs="Times New Roman"/>
          <w:sz w:val="24"/>
          <w:szCs w:val="24"/>
        </w:rPr>
        <w:t>Reeders</w:t>
      </w:r>
      <w:proofErr w:type="spellEnd"/>
      <w:r>
        <w:rPr>
          <w:rFonts w:ascii="Times New Roman" w:eastAsia="Times New Roman" w:hAnsi="Times New Roman" w:cs="Times New Roman"/>
          <w:sz w:val="24"/>
          <w:szCs w:val="24"/>
        </w:rPr>
        <w:t>, 2021)</w:t>
      </w:r>
      <w:r>
        <w:t xml:space="preserve">. As such, </w:t>
      </w:r>
      <w:r>
        <w:rPr>
          <w:rFonts w:ascii="Times New Roman" w:eastAsia="Times New Roman" w:hAnsi="Times New Roman" w:cs="Times New Roman"/>
          <w:sz w:val="24"/>
          <w:szCs w:val="24"/>
        </w:rPr>
        <w:t>alternative solutions to increase energy capacity, particularly through</w:t>
      </w:r>
      <w:r>
        <w:t xml:space="preserve"> solar and distributed generation, have become an urgent national mandate to stabilize the grid and ensure socio-economic continuity.</w:t>
      </w:r>
    </w:p>
    <w:p w14:paraId="2A9CF446"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more reliable grid and address climate challenges, SA is undertaking a nationwide transition to solar. The Just Energy Transition Investment Plan (JET IP) was developed by the governments of SA, France, Germany, the United Kingdom, and the European Union at the 26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Conference of the Parties (COP26). The Plan aims to guide SA’s decarbonization of the nation’s energy sector in a manner that ensures a “just transition”, especially in the context of the socio-economic divides that result from SA’s Apartheid history.  In its focus on the electricity sector, JET IP addresses coal plant decommissioning and investment in alternative forms of electricity generation, such as solar photovoltaics (PV) and wind. Jet IP identifies various challenges on the supply and demand sides of SA’s energy crisis and transition. To address distribution issues, solutions include promoting the implementation of small-scale embedded generation systems (SSEGs) and improving grid maintenance. On the flip side, to address demand concerns, solutions include educating on “best practices” for energy use (Presidential Climate Coalition, 2022). This plan and the solutions it </w:t>
      </w:r>
      <w:proofErr w:type="gramStart"/>
      <w:r>
        <w:rPr>
          <w:rFonts w:ascii="Times New Roman" w:eastAsia="Times New Roman" w:hAnsi="Times New Roman" w:cs="Times New Roman"/>
          <w:sz w:val="24"/>
          <w:szCs w:val="24"/>
        </w:rPr>
        <w:t>presents</w:t>
      </w:r>
      <w:proofErr w:type="gramEnd"/>
      <w:r>
        <w:rPr>
          <w:rFonts w:ascii="Times New Roman" w:eastAsia="Times New Roman" w:hAnsi="Times New Roman" w:cs="Times New Roman"/>
          <w:sz w:val="24"/>
          <w:szCs w:val="24"/>
        </w:rPr>
        <w:t xml:space="preserve"> is demonstrative of </w:t>
      </w:r>
      <w:r>
        <w:rPr>
          <w:rFonts w:ascii="Times New Roman" w:eastAsia="Times New Roman" w:hAnsi="Times New Roman" w:cs="Times New Roman"/>
          <w:sz w:val="24"/>
          <w:szCs w:val="24"/>
        </w:rPr>
        <w:lastRenderedPageBreak/>
        <w:t>SA’s commitment to energy transition, as well as the social considerations that must be considered while implementing relevant policies.</w:t>
      </w:r>
    </w:p>
    <w:p w14:paraId="6253E4CA" w14:textId="4458A10F"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SA’s energy crisis highlights the economic injustices in the country. In Cape Town, where solar PV installation rates have increased, wealthy households are turning to solar PV systems and SSEG as backup during load shedding events. On the other hand, low-income households lack the resources to do so. As a result, high-income households' adoption of SSEG pulls revenue away from the grid’s cost of service provision for low-income households, whose energy bills are </w:t>
      </w:r>
      <w:r w:rsidR="00B04B1C">
        <w:rPr>
          <w:rFonts w:ascii="Times New Roman" w:eastAsia="Times New Roman" w:hAnsi="Times New Roman" w:cs="Times New Roman"/>
          <w:sz w:val="24"/>
          <w:szCs w:val="24"/>
        </w:rPr>
        <w:t>cross subsidized</w:t>
      </w:r>
      <w:r>
        <w:rPr>
          <w:rFonts w:ascii="Times New Roman" w:eastAsia="Times New Roman" w:hAnsi="Times New Roman" w:cs="Times New Roman"/>
          <w:sz w:val="24"/>
          <w:szCs w:val="24"/>
        </w:rPr>
        <w:t xml:space="preserve"> by revenue generated by wealthy clients. As such, implemented policies need to address the challenge of promoting Distributed Energy Resources (DERs) while simultaneously ensuring funding for low-income households (Baker &amp; Phillips, 2019). Low-income households lack the resources to adapt to load shedding, underscoring concerns about energy poverty and injustice. Increasing the capacity of Cape Town’s grid and making DERs affordable for low-income households would play a critical role in ensuring equitable energy access.</w:t>
      </w:r>
    </w:p>
    <w:p w14:paraId="477CFE89"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Cape Town’s transition to solar power is significant and demonstrative of a growing understanding of the potential of renewable energy to complement, and eventually define, utility generation and distribution. To ensure equity in energy access, these incentives must reach all income levels. Our research aims to identify the impact of various policy scenarios on grid capacity and load shedding frequency in Cape Town, drawing on research from two work streams. The machine learning workstream provides data on the capacity of solar home systems in Cape Town and the rate of their adaptation over time. The econometrics work stream identifies how households with and without solar home systems respond to load shedding events. These data points are used to better inform models to predict the impacts of various policies on grid capacity and energy access. </w:t>
      </w:r>
    </w:p>
    <w:p w14:paraId="213DAFDA" w14:textId="77777777" w:rsidR="00B43890" w:rsidRDefault="00000000">
      <w:pPr>
        <w:pStyle w:val="Heading1"/>
        <w:spacing w:line="240" w:lineRule="auto"/>
        <w:rPr>
          <w:rFonts w:ascii="Times New Roman" w:eastAsia="Times New Roman" w:hAnsi="Times New Roman" w:cs="Times New Roman"/>
          <w:sz w:val="32"/>
          <w:szCs w:val="32"/>
        </w:rPr>
      </w:pPr>
      <w:bookmarkStart w:id="3" w:name="_4e8ibsc4nrvk" w:colFirst="0" w:colLast="0"/>
      <w:bookmarkEnd w:id="3"/>
      <w:r>
        <w:rPr>
          <w:rFonts w:ascii="Times New Roman" w:eastAsia="Times New Roman" w:hAnsi="Times New Roman" w:cs="Times New Roman"/>
          <w:b/>
          <w:bCs/>
          <w:color w:val="000000"/>
          <w:sz w:val="32"/>
          <w:szCs w:val="32"/>
        </w:rPr>
        <w:t>Relevant Literature</w:t>
      </w:r>
    </w:p>
    <w:p w14:paraId="56900F1E"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primary focus of the literature review has been to understand </w:t>
      </w:r>
      <w:r>
        <w:rPr>
          <w:rFonts w:ascii="Times New Roman" w:eastAsia="Times New Roman" w:hAnsi="Times New Roman" w:cs="Times New Roman"/>
          <w:sz w:val="24"/>
          <w:szCs w:val="24"/>
        </w:rPr>
        <w:t xml:space="preserve">how different rate structures and incentives for distributed energy resources (DERs) influence household rooftop solar (RS) adoption and the implications of these relationships for residential ratepayers and the utility in Cape Town. Beyond reviewing evidence on the causal or quasi-causal links between incentives and RS adoption, we examine the current state of the energy system and the incentive landscape in Cape Town. </w:t>
      </w:r>
      <w:r>
        <w:rPr>
          <w:rFonts w:ascii="Times New Roman" w:eastAsia="Times New Roman" w:hAnsi="Times New Roman" w:cs="Times New Roman"/>
          <w:color w:val="000000"/>
          <w:sz w:val="24"/>
          <w:szCs w:val="24"/>
        </w:rPr>
        <w:t xml:space="preserve"> An understanding of these relationships and </w:t>
      </w:r>
      <w:r>
        <w:rPr>
          <w:rFonts w:ascii="Times New Roman" w:eastAsia="Times New Roman" w:hAnsi="Times New Roman" w:cs="Times New Roman"/>
          <w:sz w:val="24"/>
          <w:szCs w:val="24"/>
        </w:rPr>
        <w:t>the associated growth rates for household solar adoption is necessary to derive plausible growth rates and adoption patterns for RS across income groups, which we will use to set up our LEAP scenarios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 xml:space="preserve">he team’s relevant literature therefore focuses </w:t>
      </w:r>
      <w:r>
        <w:rPr>
          <w:rFonts w:ascii="Times New Roman" w:eastAsia="Times New Roman" w:hAnsi="Times New Roman" w:cs="Times New Roman"/>
          <w:sz w:val="24"/>
          <w:szCs w:val="24"/>
        </w:rPr>
        <w:t xml:space="preserve">on </w:t>
      </w:r>
      <w:r>
        <w:rPr>
          <w:rFonts w:ascii="Times New Roman" w:eastAsia="Times New Roman" w:hAnsi="Times New Roman" w:cs="Times New Roman"/>
          <w:color w:val="000000"/>
          <w:sz w:val="24"/>
          <w:szCs w:val="24"/>
        </w:rPr>
        <w:t xml:space="preserve">three </w:t>
      </w:r>
      <w:r>
        <w:rPr>
          <w:rFonts w:ascii="Times New Roman" w:eastAsia="Times New Roman" w:hAnsi="Times New Roman" w:cs="Times New Roman"/>
          <w:sz w:val="24"/>
          <w:szCs w:val="24"/>
        </w:rPr>
        <w:t>domains: empirical studies of</w:t>
      </w:r>
      <w:r>
        <w:rPr>
          <w:rFonts w:ascii="Times New Roman" w:eastAsia="Times New Roman" w:hAnsi="Times New Roman" w:cs="Times New Roman"/>
          <w:color w:val="000000"/>
          <w:sz w:val="24"/>
          <w:szCs w:val="24"/>
        </w:rPr>
        <w:t xml:space="preserve"> incentive implementation in </w:t>
      </w:r>
      <w:r>
        <w:rPr>
          <w:rFonts w:ascii="Times New Roman" w:eastAsia="Times New Roman" w:hAnsi="Times New Roman" w:cs="Times New Roman"/>
          <w:sz w:val="24"/>
          <w:szCs w:val="24"/>
        </w:rPr>
        <w:t>SA</w:t>
      </w:r>
      <w:r>
        <w:rPr>
          <w:rFonts w:ascii="Times New Roman" w:eastAsia="Times New Roman" w:hAnsi="Times New Roman" w:cs="Times New Roman"/>
          <w:color w:val="000000"/>
          <w:sz w:val="24"/>
          <w:szCs w:val="24"/>
        </w:rPr>
        <w:t xml:space="preserve"> and similar African nations, </w:t>
      </w:r>
      <w:r>
        <w:rPr>
          <w:rFonts w:ascii="Times New Roman" w:eastAsia="Times New Roman" w:hAnsi="Times New Roman" w:cs="Times New Roman"/>
          <w:sz w:val="24"/>
          <w:szCs w:val="24"/>
        </w:rPr>
        <w:t xml:space="preserve">international evidence on how rate design and incentives shape both adoption and distribution outcomes, and applications of LEAP and related energy system models that use policy and tariff scenarios to generate DER deployment paths, load profiles, and potential mitigation to load-shedding.  </w:t>
      </w:r>
    </w:p>
    <w:p w14:paraId="6FA0D254" w14:textId="77777777" w:rsidR="00B43890" w:rsidRDefault="00B43890">
      <w:pPr>
        <w:spacing w:line="240" w:lineRule="auto"/>
        <w:rPr>
          <w:rFonts w:ascii="Times New Roman" w:eastAsia="Times New Roman" w:hAnsi="Times New Roman" w:cs="Times New Roman"/>
          <w:b/>
          <w:bCs/>
          <w:sz w:val="32"/>
          <w:szCs w:val="32"/>
        </w:rPr>
      </w:pPr>
    </w:p>
    <w:p w14:paraId="07B1D7F5" w14:textId="77777777" w:rsidR="00B4389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Existing Incentive Landscape</w:t>
      </w:r>
    </w:p>
    <w:p w14:paraId="4CB673A5"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literature review first maps the main policy and incentive instruments that governments use to support household rooftop solar. We examine incentive structures in Cape Town and SA, in other African countries facing similar constraints, and in a few higher-income countries to broaden the menu of possible designs. Outcomes from wealthier contexts are not </w:t>
      </w:r>
      <w:r>
        <w:rPr>
          <w:rFonts w:ascii="Times New Roman" w:eastAsia="Times New Roman" w:hAnsi="Times New Roman" w:cs="Times New Roman"/>
          <w:sz w:val="24"/>
          <w:szCs w:val="24"/>
        </w:rPr>
        <w:lastRenderedPageBreak/>
        <w:t>directly transferable to Cape Town, but the way investment incentives and rate structures are set up can still inform our scenario design.</w:t>
      </w:r>
    </w:p>
    <w:p w14:paraId="0E7F7023"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state of both regulatory incentives in Cape Town/SA is primarily reliant on feed-in tariffs (</w:t>
      </w:r>
      <w:proofErr w:type="spellStart"/>
      <w:r>
        <w:rPr>
          <w:rFonts w:ascii="Times New Roman" w:eastAsia="Times New Roman" w:hAnsi="Times New Roman" w:cs="Times New Roman"/>
          <w:sz w:val="24"/>
          <w:szCs w:val="24"/>
        </w:rPr>
        <w:t>FiT</w:t>
      </w:r>
      <w:proofErr w:type="spellEnd"/>
      <w:r>
        <w:rPr>
          <w:rFonts w:ascii="Times New Roman" w:eastAsia="Times New Roman" w:hAnsi="Times New Roman" w:cs="Times New Roman"/>
          <w:sz w:val="24"/>
          <w:szCs w:val="24"/>
        </w:rPr>
        <w:t xml:space="preserve">) and tax credits. (Schalkwyk and Scholtz, 2024). The </w:t>
      </w:r>
      <w:proofErr w:type="spellStart"/>
      <w:r>
        <w:rPr>
          <w:rFonts w:ascii="Times New Roman" w:eastAsia="Times New Roman" w:hAnsi="Times New Roman" w:cs="Times New Roman"/>
          <w:sz w:val="24"/>
          <w:szCs w:val="24"/>
        </w:rPr>
        <w:t>FiT</w:t>
      </w:r>
      <w:proofErr w:type="spellEnd"/>
      <w:r>
        <w:rPr>
          <w:rFonts w:ascii="Times New Roman" w:eastAsia="Times New Roman" w:hAnsi="Times New Roman" w:cs="Times New Roman"/>
          <w:sz w:val="24"/>
          <w:szCs w:val="24"/>
        </w:rPr>
        <w:t xml:space="preserve"> are structured through net metering regulations that allow rooftop PV owners to sell excess power back to the grid and receive a credit on their bill. Cape Town specifically uses a Fit incentive structure in its “Cash for Power” program, which provides residents with cash payments after a credit is applied to their municipality bill and the bill is lower than the accrued credit on the account (Venter, 2025).  The tax incentives in SA are implemented through several mechanisms. A capital allowance offers a direct tax deduction on renewable assets, but only non-residential South African users qualify (Schalkwyk and Scholtz, 2024). However, a rooftop solar rebate incentive is available to residential users through the Minister of Finance. This rebate permits residential users to claim a 25% tax rebate of 25% of the cost of their rooftop solar panels up to ~$890 USD (Schalkwyk and Scholtz, 2024).</w:t>
      </w:r>
    </w:p>
    <w:p w14:paraId="49FDB778"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African countries, such as Zambia and Nigeria, have implemented both tax credits and </w:t>
      </w:r>
      <w:proofErr w:type="spellStart"/>
      <w:r>
        <w:rPr>
          <w:rFonts w:ascii="Times New Roman" w:eastAsia="Times New Roman" w:hAnsi="Times New Roman" w:cs="Times New Roman"/>
          <w:sz w:val="24"/>
          <w:szCs w:val="24"/>
        </w:rPr>
        <w:t>FiT</w:t>
      </w:r>
      <w:proofErr w:type="spellEnd"/>
      <w:r>
        <w:rPr>
          <w:rFonts w:ascii="Times New Roman" w:eastAsia="Times New Roman" w:hAnsi="Times New Roman" w:cs="Times New Roman"/>
          <w:sz w:val="24"/>
          <w:szCs w:val="24"/>
        </w:rPr>
        <w:t>, along with other mechanisms such as loans and grants. Zambia has introduced grant programs for households to help cover some of the upfront costs of the units, but comparisons with Cape Town’s incentives are difficult, as many of these initiatives have been supported by private philanthropy through organizations such as the Rockefeller Foundation (Mulenga, 2025). Additionally, Zambian residents have been the recipients of many “below market” or concessional loan programs from international financiers such as the World Bank (Mulenga, 2025). Whereas home solar adoption among Nigerian residents has been primarily driven by government regulatory incentives rather than philanthropy. However, Nigeria’s programs primarily aim to incentivize solar manufacturers and investors. These incentives include import duty waivers, tax holidays, and value-added tax exemptions on components of solar systems (</w:t>
      </w:r>
      <w:proofErr w:type="spellStart"/>
      <w:r>
        <w:rPr>
          <w:rFonts w:ascii="Times New Roman" w:eastAsia="Times New Roman" w:hAnsi="Times New Roman" w:cs="Times New Roman"/>
          <w:sz w:val="24"/>
          <w:szCs w:val="24"/>
        </w:rPr>
        <w:t>Ihugba</w:t>
      </w:r>
      <w:proofErr w:type="spellEnd"/>
      <w:r>
        <w:rPr>
          <w:rFonts w:ascii="Times New Roman" w:eastAsia="Times New Roman" w:hAnsi="Times New Roman" w:cs="Times New Roman"/>
          <w:sz w:val="24"/>
          <w:szCs w:val="24"/>
        </w:rPr>
        <w:t xml:space="preserve">, 2025). </w:t>
      </w:r>
    </w:p>
    <w:p w14:paraId="25745EBF"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Countries with very different economic profiles from SA expand this menu of instruments. China’s “Solar Roofs Program” covers up to 50% of total investment cost via direct subsidies, the United States offers federal production and investment tax credits up to 30</w:t>
      </w:r>
      <w:proofErr w:type="gramStart"/>
      <w:r>
        <w:rPr>
          <w:rFonts w:ascii="Times New Roman" w:eastAsia="Times New Roman" w:hAnsi="Times New Roman" w:cs="Times New Roman"/>
          <w:sz w:val="24"/>
          <w:szCs w:val="24"/>
        </w:rPr>
        <w:t>%,  and</w:t>
      </w:r>
      <w:proofErr w:type="gramEnd"/>
      <w:r>
        <w:rPr>
          <w:rFonts w:ascii="Times New Roman" w:eastAsia="Times New Roman" w:hAnsi="Times New Roman" w:cs="Times New Roman"/>
          <w:sz w:val="24"/>
          <w:szCs w:val="24"/>
        </w:rPr>
        <w:t xml:space="preserve"> several European countries, such as Spain and Germany, have used a variety of feed-in tariffs (</w:t>
      </w:r>
      <w:proofErr w:type="spellStart"/>
      <w:r>
        <w:rPr>
          <w:rFonts w:ascii="Times New Roman" w:eastAsia="Times New Roman" w:hAnsi="Times New Roman" w:cs="Times New Roman"/>
          <w:sz w:val="24"/>
          <w:szCs w:val="24"/>
        </w:rPr>
        <w:t>FiT</w:t>
      </w:r>
      <w:proofErr w:type="spellEnd"/>
      <w:r>
        <w:rPr>
          <w:rFonts w:ascii="Times New Roman" w:eastAsia="Times New Roman" w:hAnsi="Times New Roman" w:cs="Times New Roman"/>
          <w:sz w:val="24"/>
          <w:szCs w:val="24"/>
        </w:rPr>
        <w:t>) structures with guaranteed purchase agreements (</w:t>
      </w:r>
      <w:proofErr w:type="spellStart"/>
      <w:r>
        <w:rPr>
          <w:rFonts w:ascii="Times New Roman" w:eastAsia="Times New Roman" w:hAnsi="Times New Roman" w:cs="Times New Roman"/>
          <w:sz w:val="24"/>
          <w:szCs w:val="24"/>
        </w:rPr>
        <w:t>CKılıç</w:t>
      </w:r>
      <w:proofErr w:type="spellEnd"/>
      <w:r>
        <w:rPr>
          <w:rFonts w:ascii="Times New Roman" w:eastAsia="Times New Roman" w:hAnsi="Times New Roman" w:cs="Times New Roman"/>
          <w:sz w:val="24"/>
          <w:szCs w:val="24"/>
        </w:rPr>
        <w:t>, 2022). While some of these subsidies beyond Africa apply to non-residential users or operate in higher-income settings, they illustrate a wide range of possible incentive and rate structures that can inform the scenarios we develop for the Cape Town model.</w:t>
      </w:r>
    </w:p>
    <w:p w14:paraId="7C638B4B" w14:textId="77777777" w:rsidR="00B43890" w:rsidRDefault="00B43890">
      <w:pPr>
        <w:spacing w:line="240" w:lineRule="auto"/>
        <w:rPr>
          <w:rFonts w:ascii="Times New Roman" w:eastAsia="Times New Roman" w:hAnsi="Times New Roman" w:cs="Times New Roman"/>
          <w:b/>
          <w:bCs/>
          <w:sz w:val="24"/>
          <w:szCs w:val="24"/>
        </w:rPr>
      </w:pPr>
    </w:p>
    <w:p w14:paraId="11E3A825" w14:textId="77777777" w:rsidR="00B4389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Relationships Between Incentives and Adoption of Residential Solar</w:t>
      </w:r>
    </w:p>
    <w:p w14:paraId="65B65C7F"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on this menu of incentive structures, we next consider evidence on how incentives relate to increased residential RS adoption. In SA, existing research is limited, but recent treasury data shows that solar panel import levels have doubled in the first 8 months of this year when compared to 2024, and solar installations surged by 600% in the first quarter (PVNH, 2025). This uptake coincides with the 2024 budget measures that introduced the 25% rebate for individual homeowners and a significant 125% tax deduction for businesses (PVNH, 2025). While this data is not specific to Cape Town or residential users, it suggests that large incentives might have played an important role. </w:t>
      </w:r>
    </w:p>
    <w:p w14:paraId="200751CD"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limited literature on Cape Town suggests that the city has also seen a similar positive relationship between incentives and increased adoption. One study from the Urban Real Estate </w:t>
      </w:r>
      <w:r>
        <w:rPr>
          <w:rFonts w:ascii="Times New Roman" w:eastAsia="Times New Roman" w:hAnsi="Times New Roman" w:cs="Times New Roman"/>
          <w:sz w:val="24"/>
          <w:szCs w:val="24"/>
        </w:rPr>
        <w:lastRenderedPageBreak/>
        <w:t xml:space="preserve">Research Unit at the University of Cape Town reports a surge in home PV installations in early 2023, coinciding with a short-term increase in the 12B capital allowance incentive by the Minister of Finance (Schalkwyk and Scholtz, 2024). Nonetheless, this provision expired in February of 2025, and direct installation numbers since then are unknown. In the same University of Cape Town study, it was also noted that the municipality of Cape Town offers the most comprehensive set of regulatory incentives in the Western Cape and some of the most approved SSEG systems among South African cities (Schalkwyk and Scholtz, 2024). However, these findings should be taken at face value, given Cape Town's preexisting population size and the relative wealth of its richest residents. Other reports, such as one covering the “Cash for Power” program, also present circumstantial evidence of investment in small-scale solar “booming” due to greater participation in the program, but more verifiable data is needed to associate increased capacity with the incentives (Libera, 2025). </w:t>
      </w:r>
    </w:p>
    <w:p w14:paraId="53D9DAE5"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Work from other African countries provides more direct evidence on the relationship between incentives and rooftop solar growth, though in many cases the effects are weak or constrained. For example, the previously mentioned study in Nigeria observed a modest but “constrained” relationship between existing incentives and adoption due to weak institutional support and inconsistent implementation (</w:t>
      </w:r>
      <w:proofErr w:type="spellStart"/>
      <w:r>
        <w:rPr>
          <w:rFonts w:ascii="Times New Roman" w:eastAsia="Times New Roman" w:hAnsi="Times New Roman" w:cs="Times New Roman"/>
          <w:sz w:val="24"/>
          <w:szCs w:val="24"/>
        </w:rPr>
        <w:t>Ihugba</w:t>
      </w:r>
      <w:proofErr w:type="spellEnd"/>
      <w:r>
        <w:rPr>
          <w:rFonts w:ascii="Times New Roman" w:eastAsia="Times New Roman" w:hAnsi="Times New Roman" w:cs="Times New Roman"/>
          <w:sz w:val="24"/>
          <w:szCs w:val="24"/>
        </w:rPr>
        <w:t xml:space="preserve">, 2025). Similarly, the </w:t>
      </w:r>
      <w:proofErr w:type="gramStart"/>
      <w:r>
        <w:rPr>
          <w:rFonts w:ascii="Times New Roman" w:eastAsia="Times New Roman" w:hAnsi="Times New Roman" w:cs="Times New Roman"/>
          <w:sz w:val="24"/>
          <w:szCs w:val="24"/>
        </w:rPr>
        <w:t>aforementioned Zambia</w:t>
      </w:r>
      <w:proofErr w:type="gramEnd"/>
      <w:r>
        <w:rPr>
          <w:rFonts w:ascii="Times New Roman" w:eastAsia="Times New Roman" w:hAnsi="Times New Roman" w:cs="Times New Roman"/>
          <w:sz w:val="24"/>
          <w:szCs w:val="24"/>
        </w:rPr>
        <w:t xml:space="preserve"> paper found only weak statistical associations in its survey data (Mulenga, 2025). </w:t>
      </w:r>
    </w:p>
    <w:p w14:paraId="67AF7096"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Looking beyond Africa, one study in Brazil found that a 1BRL cent increase in the final residential </w:t>
      </w:r>
      <w:proofErr w:type="spellStart"/>
      <w:r>
        <w:rPr>
          <w:rFonts w:ascii="Times New Roman" w:eastAsia="Times New Roman" w:hAnsi="Times New Roman" w:cs="Times New Roman"/>
          <w:sz w:val="24"/>
          <w:szCs w:val="24"/>
        </w:rPr>
        <w:t>FiT</w:t>
      </w:r>
      <w:proofErr w:type="spellEnd"/>
      <w:r>
        <w:rPr>
          <w:rFonts w:ascii="Times New Roman" w:eastAsia="Times New Roman" w:hAnsi="Times New Roman" w:cs="Times New Roman"/>
          <w:sz w:val="24"/>
          <w:szCs w:val="24"/>
        </w:rPr>
        <w:t xml:space="preserve"> would be associated with ~6.5% more household PV systems (De Freitas, 2020).  It is important to note that this research used an econometric demand model rather than an observational study, as in the Nigeria and Zambia papers (De Freitas, 2020). The universe of existing work, like that of the De Freitas Brazil study, which models the impact of incentives on potential solar home adoption, is limited. However, there are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papers outside Africa that use an observational survey design to ask respondents what would make them consider home solar adoption. An Australian study conducted in 2018 used a choice experiment nationwide and found that residents were interested in installing a system if they had guaranteed up-front rebates to cover installation costs and long-term </w:t>
      </w:r>
      <w:proofErr w:type="spellStart"/>
      <w:r>
        <w:rPr>
          <w:rFonts w:ascii="Times New Roman" w:eastAsia="Times New Roman" w:hAnsi="Times New Roman" w:cs="Times New Roman"/>
          <w:sz w:val="24"/>
          <w:szCs w:val="24"/>
        </w:rPr>
        <w:t>FiT</w:t>
      </w:r>
      <w:proofErr w:type="spellEnd"/>
      <w:r>
        <w:rPr>
          <w:rFonts w:ascii="Times New Roman" w:eastAsia="Times New Roman" w:hAnsi="Times New Roman" w:cs="Times New Roman"/>
          <w:sz w:val="24"/>
          <w:szCs w:val="24"/>
        </w:rPr>
        <w:t xml:space="preserve"> agreements (Zander, 2019). Similar observational studies exist in Chile and other Latin American nations, but the best causal research exists primarily in China and the United States. </w:t>
      </w:r>
    </w:p>
    <w:p w14:paraId="507F0BD3"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more developed nations like China and the U.S. differ distinctly from South Africa, their experience with subsidies still offers useful quantitative benchmarks for our model assumptions. In China, a natural experiment emerged through the nation’s three “</w:t>
      </w:r>
      <w:proofErr w:type="gramStart"/>
      <w:r>
        <w:rPr>
          <w:rFonts w:ascii="Times New Roman" w:eastAsia="Times New Roman" w:hAnsi="Times New Roman" w:cs="Times New Roman"/>
          <w:sz w:val="24"/>
          <w:szCs w:val="24"/>
        </w:rPr>
        <w:t>FIT”  or</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w:t>
      </w:r>
      <w:proofErr w:type="spellEnd"/>
      <w:r>
        <w:rPr>
          <w:rFonts w:ascii="Times New Roman" w:eastAsia="Times New Roman" w:hAnsi="Times New Roman" w:cs="Times New Roman"/>
          <w:sz w:val="24"/>
          <w:szCs w:val="24"/>
        </w:rPr>
        <w:t xml:space="preserve"> zones (Dong, 2021).  These zones are geographical areas divided by the quality of the solar resource. In 2016, the FIT was severely cut in Zone II but not in Zone III. This resulted in a quasi-natural experiment that showed that an additional ~1.4 cents/kWh of PV subsidy increases installed capacity by ~18 GW/year in the country (Dong, 2021). This study included both residential and non-residential users, but the finding is significant. Beyond Dong’s study, China’s 2018 nationwide cut in distributed PV subsidies also functions as a policy shock: when the generation subsidy was reduced from $0.0595 to $0.0524/kWh and coal benchmark prices were lowered by $0.0085/kWh, the growth rate of new distributed PV capacity fell from about 122% per year (2013~2017) to only 7.8% in 2018 (Wang et al., 2022). While this is not a fully identified causal inference study, it’s consistent with a strong adverse investment response to subsidy reductions. </w:t>
      </w:r>
    </w:p>
    <w:p w14:paraId="34F5759F" w14:textId="5A61685F"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United States, there is a multitude of research on how household incentives affect and increase solar adoption. One of the most relevant US studies was conducted by the Lawrence </w:t>
      </w:r>
      <w:r>
        <w:rPr>
          <w:rFonts w:ascii="Times New Roman" w:eastAsia="Times New Roman" w:hAnsi="Times New Roman" w:cs="Times New Roman"/>
          <w:sz w:val="24"/>
          <w:szCs w:val="24"/>
        </w:rPr>
        <w:lastRenderedPageBreak/>
        <w:t>Berkeley National Laboratory (LBNL), which uses a difference-in-differences (</w:t>
      </w:r>
      <w:proofErr w:type="spellStart"/>
      <w:r>
        <w:rPr>
          <w:rFonts w:ascii="Times New Roman" w:eastAsia="Times New Roman" w:hAnsi="Times New Roman" w:cs="Times New Roman"/>
          <w:sz w:val="24"/>
          <w:szCs w:val="24"/>
        </w:rPr>
        <w:t>DiD</w:t>
      </w:r>
      <w:proofErr w:type="spellEnd"/>
      <w:r>
        <w:rPr>
          <w:rFonts w:ascii="Times New Roman" w:eastAsia="Times New Roman" w:hAnsi="Times New Roman" w:cs="Times New Roman"/>
          <w:sz w:val="24"/>
          <w:szCs w:val="24"/>
        </w:rPr>
        <w:t>) design to examine the impact of solar incentives on the adoption of solar energy by low- and moderate-income (</w:t>
      </w:r>
      <w:r w:rsidR="00B04B1C">
        <w:rPr>
          <w:rFonts w:ascii="Times New Roman" w:eastAsia="Times New Roman" w:hAnsi="Times New Roman" w:cs="Times New Roman"/>
          <w:sz w:val="24"/>
          <w:szCs w:val="24"/>
        </w:rPr>
        <w:t>LMI) individuals</w:t>
      </w:r>
      <w:r>
        <w:rPr>
          <w:rFonts w:ascii="Times New Roman" w:eastAsia="Times New Roman" w:hAnsi="Times New Roman" w:cs="Times New Roman"/>
          <w:sz w:val="24"/>
          <w:szCs w:val="24"/>
        </w:rPr>
        <w:t xml:space="preserve"> (O’Shaughnessy, 2022). The researchers found that ~80% of </w:t>
      </w:r>
      <w:r w:rsidR="00B04B1C">
        <w:rPr>
          <w:rFonts w:ascii="Times New Roman" w:eastAsia="Times New Roman" w:hAnsi="Times New Roman" w:cs="Times New Roman"/>
          <w:sz w:val="24"/>
          <w:szCs w:val="24"/>
        </w:rPr>
        <w:t>LMI households</w:t>
      </w:r>
      <w:r>
        <w:rPr>
          <w:rFonts w:ascii="Times New Roman" w:eastAsia="Times New Roman" w:hAnsi="Times New Roman" w:cs="Times New Roman"/>
          <w:sz w:val="24"/>
          <w:szCs w:val="24"/>
        </w:rPr>
        <w:t xml:space="preserve"> that received support would not have installed their systems without the incentives (O’Shaughnessy, 2022). California’s residential rebate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uses fixed-effects regressions and a consumer choice model (Sun, 2022). It finds that rebates produce an immediate boost in adoption, but that this effect weakens as system costs fall over time. </w:t>
      </w:r>
    </w:p>
    <w:p w14:paraId="47AE11AE"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 studies also provide clear evidence on who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adopt under different policy designs. Xu (2024) combines census data with the </w:t>
      </w:r>
      <w:proofErr w:type="spellStart"/>
      <w:r>
        <w:rPr>
          <w:rFonts w:ascii="Times New Roman" w:eastAsia="Times New Roman" w:hAnsi="Times New Roman" w:cs="Times New Roman"/>
          <w:sz w:val="24"/>
          <w:szCs w:val="24"/>
        </w:rPr>
        <w:t>DeepSolar</w:t>
      </w:r>
      <w:proofErr w:type="spellEnd"/>
      <w:r>
        <w:rPr>
          <w:rFonts w:ascii="Times New Roman" w:eastAsia="Times New Roman" w:hAnsi="Times New Roman" w:cs="Times New Roman"/>
          <w:sz w:val="24"/>
          <w:szCs w:val="24"/>
        </w:rPr>
        <w:t xml:space="preserve"> dataset and shows that lower-income census tracts have systematically lower rooftop solar adoption than higher-income areas. Using cross-sectional regressions, the authors compare different incentive types across income groups and find that net metering is strongly associated with adoption in all tracts, property tax incentives are most effective in high-income areas, and means-tested rebates or concessional loans are most effective in low-income areas. These results suggest that the choice of instrument has distinct distributional consequences, and that targeted rebates or concessional finance are likely to be more important for expanding adoption among lower-income households—an insight that can inform how we differentiate high- and low-income groups in our Cape Town scenarios.</w:t>
      </w:r>
    </w:p>
    <w:p w14:paraId="7BE90D89" w14:textId="77777777" w:rsidR="00B43890" w:rsidRDefault="00B43890">
      <w:pPr>
        <w:spacing w:line="240" w:lineRule="auto"/>
        <w:ind w:firstLine="720"/>
        <w:rPr>
          <w:rFonts w:ascii="Times New Roman" w:eastAsia="Times New Roman" w:hAnsi="Times New Roman" w:cs="Times New Roman"/>
          <w:sz w:val="24"/>
          <w:szCs w:val="24"/>
        </w:rPr>
      </w:pPr>
    </w:p>
    <w:p w14:paraId="36B92BFE" w14:textId="77777777" w:rsidR="00B4389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Mitigation of Load Shedding</w:t>
      </w:r>
    </w:p>
    <w:p w14:paraId="78D98669" w14:textId="0B7E163B"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adoption, a second strand of literature examines how rooftop PV and hybrid PV–battery systems can mitigate load shedding by supplying demand during outages. In Pakistan, Bakht et al. (2024) designed and optimized a hybrid energy system combining PV, wind, battery storage, and a diesel generator for a residential community that experiences about 5 hours of scheduled load shedding per day. Using the load-shedding schedule and local resource data, they minimize levelized electricity cost, payback period, and loss of power supply probability (LPSP), and show that the optimal hybrid configuration delivers lower costs, shorter payback, and much higher reliability than diesel generators or battery-based uninterruptible power supplies (UPS). Related work by Zubair et al. (2021) shows that widespread reliance on UPS during load shedding in Pakistan </w:t>
      </w:r>
      <w:r w:rsidR="00B04B1C">
        <w:rPr>
          <w:rFonts w:ascii="Times New Roman" w:eastAsia="Times New Roman" w:hAnsi="Times New Roman" w:cs="Times New Roman"/>
          <w:sz w:val="24"/>
          <w:szCs w:val="24"/>
        </w:rPr>
        <w:t>increases</w:t>
      </w:r>
      <w:r>
        <w:rPr>
          <w:rFonts w:ascii="Times New Roman" w:eastAsia="Times New Roman" w:hAnsi="Times New Roman" w:cs="Times New Roman"/>
          <w:sz w:val="24"/>
          <w:szCs w:val="24"/>
        </w:rPr>
        <w:t xml:space="preserve"> national grid demand by around 28.6% and </w:t>
      </w:r>
      <w:r w:rsidR="00B04B1C">
        <w:rPr>
          <w:rFonts w:ascii="Times New Roman" w:eastAsia="Times New Roman" w:hAnsi="Times New Roman" w:cs="Times New Roman" w:hint="eastAsia"/>
          <w:sz w:val="24"/>
          <w:szCs w:val="24"/>
        </w:rPr>
        <w:t>results in</w:t>
      </w:r>
      <w:r>
        <w:rPr>
          <w:rFonts w:ascii="Times New Roman" w:eastAsia="Times New Roman" w:hAnsi="Times New Roman" w:cs="Times New Roman"/>
          <w:sz w:val="24"/>
          <w:szCs w:val="24"/>
        </w:rPr>
        <w:t xml:space="preserve"> more than 7 </w:t>
      </w:r>
      <w:proofErr w:type="spellStart"/>
      <w:r>
        <w:rPr>
          <w:rFonts w:ascii="Times New Roman" w:eastAsia="Times New Roman" w:hAnsi="Times New Roman" w:cs="Times New Roman"/>
          <w:sz w:val="24"/>
          <w:szCs w:val="24"/>
        </w:rPr>
        <w:t>TWh</w:t>
      </w:r>
      <w:proofErr w:type="spellEnd"/>
      <w:r>
        <w:rPr>
          <w:rFonts w:ascii="Times New Roman" w:eastAsia="Times New Roman" w:hAnsi="Times New Roman" w:cs="Times New Roman"/>
          <w:sz w:val="24"/>
          <w:szCs w:val="24"/>
        </w:rPr>
        <w:t xml:space="preserve"> </w:t>
      </w:r>
      <w:r w:rsidR="00B04B1C">
        <w:rPr>
          <w:rFonts w:ascii="Times New Roman" w:eastAsia="Times New Roman" w:hAnsi="Times New Roman" w:cs="Times New Roman" w:hint="eastAsia"/>
          <w:sz w:val="24"/>
          <w:szCs w:val="24"/>
        </w:rPr>
        <w:t>of</w:t>
      </w:r>
      <w:r>
        <w:rPr>
          <w:rFonts w:ascii="Times New Roman" w:eastAsia="Times New Roman" w:hAnsi="Times New Roman" w:cs="Times New Roman"/>
          <w:sz w:val="24"/>
          <w:szCs w:val="24"/>
        </w:rPr>
        <w:t xml:space="preserve"> </w:t>
      </w:r>
      <w:r w:rsidR="00B04B1C">
        <w:rPr>
          <w:rFonts w:ascii="Times New Roman" w:eastAsia="Times New Roman" w:hAnsi="Times New Roman" w:cs="Times New Roman" w:hint="eastAsia"/>
          <w:sz w:val="24"/>
          <w:szCs w:val="24"/>
        </w:rPr>
        <w:t>annual</w:t>
      </w:r>
      <w:r>
        <w:rPr>
          <w:rFonts w:ascii="Times New Roman" w:eastAsia="Times New Roman" w:hAnsi="Times New Roman" w:cs="Times New Roman"/>
          <w:sz w:val="24"/>
          <w:szCs w:val="24"/>
        </w:rPr>
        <w:t xml:space="preserve"> charging and discharging losses, highlighting the system-level benefit</w:t>
      </w:r>
      <w:r w:rsidR="00B04B1C">
        <w:rPr>
          <w:rFonts w:ascii="Times New Roman" w:eastAsia="Times New Roman" w:hAnsi="Times New Roman" w:cs="Times New Roman" w:hint="eastAsia"/>
          <w:sz w:val="24"/>
          <w:szCs w:val="24"/>
        </w:rPr>
        <w:t>s</w:t>
      </w:r>
      <w:r>
        <w:rPr>
          <w:rFonts w:ascii="Times New Roman" w:eastAsia="Times New Roman" w:hAnsi="Times New Roman" w:cs="Times New Roman"/>
          <w:sz w:val="24"/>
          <w:szCs w:val="24"/>
        </w:rPr>
        <w:t xml:space="preserve"> of shifting from conventional backup to distributed renewables.</w:t>
      </w:r>
    </w:p>
    <w:p w14:paraId="4C0673DD"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Recent South African studies translate this logic into the local context of load shedding. Michael-</w:t>
      </w:r>
      <w:proofErr w:type="spellStart"/>
      <w:r>
        <w:rPr>
          <w:rFonts w:ascii="Times New Roman" w:eastAsia="Times New Roman" w:hAnsi="Times New Roman" w:cs="Times New Roman"/>
          <w:sz w:val="24"/>
          <w:szCs w:val="24"/>
        </w:rPr>
        <w:t>Ahile</w:t>
      </w:r>
      <w:proofErr w:type="spellEnd"/>
      <w:r>
        <w:rPr>
          <w:rFonts w:ascii="Times New Roman" w:eastAsia="Times New Roman" w:hAnsi="Times New Roman" w:cs="Times New Roman"/>
          <w:sz w:val="24"/>
          <w:szCs w:val="24"/>
        </w:rPr>
        <w:t xml:space="preserve"> et al. (2025) optimize PV–battery systems for lower- and middle-income schools under Eskom’s Stage 2 load-shedding schedule, defining objectives that include net present cost, lifetime savings, and unmet load-shedding demand. With a unified rule-based dispatch strategy, the optimal systems reduce total energy demand by about 47%, cut peak-hour demand by 63%, and cover roughly 98% of load-shedding requirements. A separate South African research shows, at the household scale, how hybrid PV–grid systems that transfer “lighter loads” to standalone PV can reduce the energy drawn from the grid during shedding events, and estimates that if roughly 2.25 million homes each supply around 444 W, Stage 1 load shedding could be effectively avoided (</w:t>
      </w:r>
      <w:r>
        <w:rPr>
          <w:rFonts w:ascii="Times New Roman" w:eastAsia="Times New Roman" w:hAnsi="Times New Roman" w:cs="Times New Roman"/>
          <w:color w:val="222222"/>
          <w:sz w:val="24"/>
          <w:szCs w:val="24"/>
          <w:highlight w:val="white"/>
        </w:rPr>
        <w:t>Kgomo, 2022)</w:t>
      </w:r>
      <w:r>
        <w:rPr>
          <w:rFonts w:ascii="Times New Roman" w:eastAsia="Times New Roman" w:hAnsi="Times New Roman" w:cs="Times New Roman"/>
          <w:sz w:val="24"/>
          <w:szCs w:val="24"/>
        </w:rPr>
        <w:t>.</w:t>
      </w:r>
    </w:p>
    <w:p w14:paraId="2E97B995" w14:textId="77777777" w:rsidR="00B43890" w:rsidRDefault="00B43890">
      <w:pPr>
        <w:spacing w:line="240" w:lineRule="auto"/>
        <w:rPr>
          <w:rFonts w:ascii="Times New Roman" w:eastAsia="Times New Roman" w:hAnsi="Times New Roman" w:cs="Times New Roman"/>
          <w:sz w:val="24"/>
          <w:szCs w:val="24"/>
        </w:rPr>
      </w:pPr>
    </w:p>
    <w:p w14:paraId="0DB749DF" w14:textId="77777777" w:rsidR="00B4389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Modeling Distributed Energy Pathways Using LEAP</w:t>
      </w:r>
    </w:p>
    <w:p w14:paraId="4B99A117"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convert these empirical and techno-economic insights into scenario-based analysis for Cape Town, we next review studies that use the LEAP model and related tools to represent policy and tariff changes as alternative DER adoption and load trajectories.</w:t>
      </w:r>
    </w:p>
    <w:p w14:paraId="5FC5C838" w14:textId="77777777" w:rsidR="00B4389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many countries, energy system studies have used the LEAP model to translate policy scenarios into quantitative pathways for demand, supply, and emissions. National-level applications in emerging economies demonstrate how LEAP can support long-term decarbonization across different policy packages. For example, recent work on Indonesia builds a LEAP model with scenarios ranging from business-as-usual to accelerated renewables and net-zero, and compares energy use, technology mix, and emissions trajectories through 2060 (Zhong et al., 2025). </w:t>
      </w:r>
    </w:p>
    <w:p w14:paraId="419EF684"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Similar studies for SA and other African countries use LEAP to construct reference, low-carbon, and “green growth” scenarios, and assess how combinations of efficiency measures, fuel switching, and renewable targets change both total energy demand and greenhouse gas emissions over multi-decade horizons (</w:t>
      </w:r>
      <w:proofErr w:type="spellStart"/>
      <w:r>
        <w:rPr>
          <w:rFonts w:ascii="Times New Roman" w:eastAsia="Times New Roman" w:hAnsi="Times New Roman" w:cs="Times New Roman"/>
          <w:sz w:val="24"/>
          <w:szCs w:val="24"/>
        </w:rPr>
        <w:t>Emodi</w:t>
      </w:r>
      <w:proofErr w:type="spellEnd"/>
      <w:r>
        <w:rPr>
          <w:rFonts w:ascii="Times New Roman" w:eastAsia="Times New Roman" w:hAnsi="Times New Roman" w:cs="Times New Roman"/>
          <w:sz w:val="24"/>
          <w:szCs w:val="24"/>
        </w:rPr>
        <w:t xml:space="preserve"> et al., 2017). In South Africa, </w:t>
      </w:r>
      <w:proofErr w:type="spellStart"/>
      <w:r>
        <w:rPr>
          <w:rFonts w:ascii="Times New Roman" w:eastAsia="Times New Roman" w:hAnsi="Times New Roman" w:cs="Times New Roman"/>
          <w:sz w:val="24"/>
          <w:szCs w:val="24"/>
        </w:rPr>
        <w:t>Taviv</w:t>
      </w:r>
      <w:proofErr w:type="spellEnd"/>
      <w:r>
        <w:rPr>
          <w:rFonts w:ascii="Times New Roman" w:eastAsia="Times New Roman" w:hAnsi="Times New Roman" w:cs="Times New Roman"/>
          <w:sz w:val="24"/>
          <w:szCs w:val="24"/>
        </w:rPr>
        <w:t xml:space="preserve"> (2008) applied LEAP at the national scale to compare a reference path with low-carbon and oil-price-shock scenarios, explicitly disaggregating demand by sector and fuel and linking it to power generation choices.</w:t>
      </w:r>
    </w:p>
    <w:p w14:paraId="0A640E8E"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Subnational and sectoral LEAP studies show how the framework can be adapted to specific technologies and policy levers, including distributed solar. In Ghana, Amo-Aidoo et al. (2022) develop a LEAP model of the power sector and test scenarios in which grid-connected solar capacity reaches 5%, 10%, and 15% of the mix by 2040, showing the resulting changes in generation costs and emissions relative to a fossil-heavy baseline. In South Korea, Hong et al. (2016) use LEAP to evaluate transport policies, treating measures such as fuel-economy standards, electric-vehicle deployment, and modal shift as changes in activity levels and technology shares, and comparing their combined impact on energy demand and CO₂ emissions. City- and provincial-level studies in China similarly rely on LEAP to assess pathways to carbon peaking and neutrality, varying assumptions about efficiency improvements, electrification, and the penetration of renewables, and tracking how these assumptions affect sectoral demand and the composition of the generation fleet over time (Cai et al., 2023).</w:t>
      </w:r>
    </w:p>
    <w:p w14:paraId="3B8F26F1"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also suggest practical ways to structure scenarios. Typical LEAP applications start from a reference case defined by historical activity, current policies, and existing capacity, then build alternative scenarios by adjusting demand growth, efficiency, and technology adoption rates in line with specific policy narratives. Some models incorporate additional performance metrics, such as unserved energy, peak load, or reserve margins, to evaluate reliability alongside emissions and cost (</w:t>
      </w:r>
      <w:proofErr w:type="spellStart"/>
      <w:r>
        <w:rPr>
          <w:rFonts w:ascii="Times New Roman" w:eastAsia="Times New Roman" w:hAnsi="Times New Roman" w:cs="Times New Roman"/>
          <w:sz w:val="24"/>
          <w:szCs w:val="24"/>
        </w:rPr>
        <w:t>Kemausuor</w:t>
      </w:r>
      <w:proofErr w:type="spellEnd"/>
      <w:r>
        <w:rPr>
          <w:rFonts w:ascii="Times New Roman" w:eastAsia="Times New Roman" w:hAnsi="Times New Roman" w:cs="Times New Roman"/>
          <w:sz w:val="24"/>
          <w:szCs w:val="24"/>
        </w:rPr>
        <w:t xml:space="preserve"> et al., 2018). </w:t>
      </w:r>
    </w:p>
    <w:p w14:paraId="7DD5BEB8" w14:textId="77777777" w:rsidR="00B43890" w:rsidRDefault="00000000">
      <w:pPr>
        <w:pStyle w:val="Heading1"/>
        <w:spacing w:line="240" w:lineRule="auto"/>
        <w:rPr>
          <w:rFonts w:ascii="Times New Roman" w:eastAsia="Times New Roman" w:hAnsi="Times New Roman" w:cs="Times New Roman"/>
          <w:sz w:val="24"/>
          <w:szCs w:val="24"/>
        </w:rPr>
      </w:pPr>
      <w:bookmarkStart w:id="4" w:name="_v4hr6u8vgcnf" w:colFirst="0" w:colLast="0"/>
      <w:bookmarkEnd w:id="4"/>
      <w:r>
        <w:rPr>
          <w:rFonts w:ascii="Times New Roman" w:eastAsia="Times New Roman" w:hAnsi="Times New Roman" w:cs="Times New Roman"/>
          <w:b/>
          <w:bCs/>
          <w:color w:val="000000"/>
          <w:sz w:val="32"/>
          <w:szCs w:val="32"/>
        </w:rPr>
        <w:t>Methods</w:t>
      </w:r>
    </w:p>
    <w:p w14:paraId="0C028A83"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use a scenario-based approach to explore how different tariff and incentive designs could affect residential rooftop solar (RS) adoption in Cape Town and what this would imply for load shedding and equity. The analysis has two steps. First, we construct rough adoption trajectories and PV capacities to 2050 outside of LEAP, using simple growth assumptions. Second, these trajectories will be used as inputs and checks for a LEAP model of Cape Town’s electricity demand, supply, and load-shedding patterns.</w:t>
      </w:r>
    </w:p>
    <w:p w14:paraId="58888C32"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define four preliminary policy and market scenarios to guide the models of predicted growth rates of solar adaptation. The “business as usual” (BAU) model is represented by Scenario 0, which assumes that current trends continue in line with without significant policy changes. Pro-solar policies are modelled in Scenario 1, prioritizing measures such as high export credits and retail tariffs that support solar adaptation by minimizing barriers. Scenario 2 models the reverse scenario, protecting utility revenue by raising fixed charges and lowering export rates </w:t>
      </w:r>
      <w:r>
        <w:rPr>
          <w:rFonts w:ascii="Times New Roman" w:eastAsia="Times New Roman" w:hAnsi="Times New Roman" w:cs="Times New Roman"/>
          <w:sz w:val="24"/>
          <w:szCs w:val="24"/>
        </w:rPr>
        <w:lastRenderedPageBreak/>
        <w:t xml:space="preserve">to make solar adaptation less accessible. Finally, Scenario 3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policies that subsidize solar adoption through loans and grants, prioritizing adoption among low- and middle-income households. Baseline RS capacity and its distribution across income groups are derived from recent machine-learning work identifying solar home systems in Cape Town. In 2023, there were 2,392 SHS contracts with a median PV capacity of 2.68 kW, implying a baseline installed capacity of about 6,410.56 kW (Yoder, 2025). For this preliminary analysis, we assume that 70% of these systems </w:t>
      </w:r>
      <w:proofErr w:type="gramStart"/>
      <w:r>
        <w:rPr>
          <w:rFonts w:ascii="Times New Roman" w:eastAsia="Times New Roman" w:hAnsi="Times New Roman" w:cs="Times New Roman"/>
          <w:sz w:val="24"/>
          <w:szCs w:val="24"/>
        </w:rPr>
        <w:t>are located in</w:t>
      </w:r>
      <w:proofErr w:type="gramEnd"/>
      <w:r>
        <w:rPr>
          <w:rFonts w:ascii="Times New Roman" w:eastAsia="Times New Roman" w:hAnsi="Times New Roman" w:cs="Times New Roman"/>
          <w:sz w:val="24"/>
          <w:szCs w:val="24"/>
        </w:rPr>
        <w:t xml:space="preserve"> high-income households, 30% in middle-income households, and that low-income households have essentially no rooftop PV. This yields baseline capacities of roughly 4,487 kW for high-income households, 1,923 kW for middle-income households, and 0 kW for low-income households. These shares are consistent with evidence that early adopters tend to be wealthier households in better-served areas.</w:t>
      </w:r>
    </w:p>
    <w:p w14:paraId="09773462"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then specify adoption pathways for each income group under each scenario. As a starting point, we take a national rooftop solar growth rate of about 7% per year (Finkle, Evans, Shah, </w:t>
      </w:r>
      <w:proofErr w:type="spellStart"/>
      <w:r>
        <w:rPr>
          <w:rFonts w:ascii="Times New Roman" w:eastAsia="Times New Roman" w:hAnsi="Times New Roman" w:cs="Times New Roman"/>
          <w:sz w:val="24"/>
          <w:szCs w:val="24"/>
        </w:rPr>
        <w:t>Muta</w:t>
      </w:r>
      <w:proofErr w:type="spellEnd"/>
      <w:r>
        <w:rPr>
          <w:rFonts w:ascii="Times New Roman" w:eastAsia="Times New Roman" w:hAnsi="Times New Roman" w:cs="Times New Roman"/>
          <w:sz w:val="24"/>
          <w:szCs w:val="24"/>
        </w:rPr>
        <w:t xml:space="preserve">, 2025) as a plausible medium-growth benchmark and adjust it up or down depending on the strength and targeting of incentives. In the BAU scenario, we assign modest annual growth rates that keep RS adoption increasing but not rapidly. In the pro-solar scenario, we assign higher annual growth rates for high- and middle-income groups and a moderate </w:t>
      </w:r>
      <w:proofErr w:type="gramStart"/>
      <w:r>
        <w:rPr>
          <w:rFonts w:ascii="Times New Roman" w:eastAsia="Times New Roman" w:hAnsi="Times New Roman" w:cs="Times New Roman"/>
          <w:sz w:val="24"/>
          <w:szCs w:val="24"/>
        </w:rPr>
        <w:t>positive growth</w:t>
      </w:r>
      <w:proofErr w:type="gramEnd"/>
      <w:r>
        <w:rPr>
          <w:rFonts w:ascii="Times New Roman" w:eastAsia="Times New Roman" w:hAnsi="Times New Roman" w:cs="Times New Roman"/>
          <w:sz w:val="24"/>
          <w:szCs w:val="24"/>
        </w:rPr>
        <w:t xml:space="preserve"> rate for low-income households, reflecting broad-based incentives. In the utility-protection scenario, we reduce growth rates for all groups, with the largest reductions for high-income households, to reflect weaker returns to rooftop PV. In the LMI-targeted scenario, we give low- and middle-income households higher growth rates than in BAU, while high-income households grow only slightly faster than in the baseline. As an additional starting boost, we assume that scenarios 1 and 3 trigger the immediate installation of a small number of SHS in low-income areas (e.g. 25 and 40 new systems in 2023), which increases the low-income baseline capacity before growth compounds.</w:t>
      </w:r>
    </w:p>
    <w:p w14:paraId="3D213B64"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income group g and scenario s, we project rooftop PV capacity from 2023 to 2050 using a simple compound growth formula:</w:t>
      </w:r>
    </w:p>
    <w:p w14:paraId="3EF0301D" w14:textId="77777777" w:rsidR="00B43890" w:rsidRDefault="00B43890">
      <w:pPr>
        <w:spacing w:line="240" w:lineRule="auto"/>
        <w:ind w:firstLine="720"/>
        <w:rPr>
          <w:rFonts w:ascii="Times New Roman" w:eastAsia="Times New Roman" w:hAnsi="Times New Roman" w:cs="Times New Roman"/>
          <w:sz w:val="24"/>
          <w:szCs w:val="24"/>
        </w:rPr>
      </w:pPr>
    </w:p>
    <w:p w14:paraId="1F7298A3" w14:textId="77777777" w:rsidR="00B4389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w:t>
      </w:r>
      <w:r>
        <w:rPr>
          <w:rFonts w:ascii="Times New Roman" w:eastAsia="Times New Roman" w:hAnsi="Times New Roman" w:cs="Times New Roman"/>
          <w:sz w:val="24"/>
          <w:szCs w:val="24"/>
          <w:vertAlign w:val="subscript"/>
        </w:rPr>
        <w:t>2050</w:t>
      </w:r>
      <w:r>
        <w:rPr>
          <w:rFonts w:ascii="Times New Roman" w:eastAsia="Times New Roman" w:hAnsi="Times New Roman" w:cs="Times New Roman"/>
          <w:sz w:val="24"/>
          <w:szCs w:val="24"/>
        </w:rPr>
        <w:t>​ = capacity</w:t>
      </w:r>
      <w:r>
        <w:rPr>
          <w:rFonts w:ascii="Times New Roman" w:eastAsia="Times New Roman" w:hAnsi="Times New Roman" w:cs="Times New Roman"/>
          <w:sz w:val="24"/>
          <w:szCs w:val="24"/>
          <w:vertAlign w:val="subscript"/>
        </w:rPr>
        <w:t>2023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1+(growth rate))</w:t>
      </w:r>
      <w:r>
        <w:rPr>
          <w:rFonts w:ascii="Times New Roman" w:eastAsia="Times New Roman" w:hAnsi="Times New Roman" w:cs="Times New Roman"/>
          <w:sz w:val="24"/>
          <w:szCs w:val="24"/>
          <w:vertAlign w:val="superscript"/>
        </w:rPr>
        <w:t xml:space="preserve">27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w:t>
      </w:r>
    </w:p>
    <w:p w14:paraId="0A565F5D" w14:textId="77777777" w:rsidR="00B43890" w:rsidRDefault="00B43890">
      <w:pPr>
        <w:spacing w:line="240" w:lineRule="auto"/>
        <w:jc w:val="center"/>
        <w:rPr>
          <w:rFonts w:ascii="Times New Roman" w:eastAsia="Times New Roman" w:hAnsi="Times New Roman" w:cs="Times New Roman"/>
          <w:sz w:val="24"/>
          <w:szCs w:val="24"/>
        </w:rPr>
      </w:pPr>
    </w:p>
    <w:p w14:paraId="2E952477" w14:textId="77777777" w:rsidR="00B4389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proofErr w:type="gramStart"/>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g,s</w:t>
      </w:r>
      <w:proofErr w:type="spellEnd"/>
      <w:proofErr w:type="gramEnd"/>
      <w:r>
        <w:rPr>
          <w:rFonts w:ascii="Times New Roman" w:eastAsia="Times New Roman" w:hAnsi="Times New Roman" w:cs="Times New Roman"/>
          <w:sz w:val="24"/>
          <w:szCs w:val="24"/>
        </w:rPr>
        <w:t xml:space="preserve"> is the assumed annual growth rate for that group under that scenario, and 17 is the number of years from 2023 to 2050. Scenario-specific growth rates for each income group are summarized in Table 1. Summing across groups yields the total projected RS capacity and the incremental increase in capacity in 2050 for each scenario. These values provide an initial indication of how strongly each policy package could expand rooftop PV in Cape Town.</w:t>
      </w:r>
    </w:p>
    <w:p w14:paraId="2AA4AD1E" w14:textId="77777777" w:rsidR="00B43890" w:rsidRDefault="00B43890">
      <w:pPr>
        <w:spacing w:line="240" w:lineRule="auto"/>
        <w:ind w:firstLine="720"/>
        <w:rPr>
          <w:rFonts w:ascii="Times New Roman" w:eastAsia="Times New Roman" w:hAnsi="Times New Roman" w:cs="Times New Roman"/>
          <w:sz w:val="24"/>
          <w:szCs w:val="24"/>
        </w:rPr>
      </w:pPr>
    </w:p>
    <w:p w14:paraId="0A92211B" w14:textId="77777777" w:rsidR="00B4389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Overview of LEAP and Uses </w:t>
      </w:r>
    </w:p>
    <w:p w14:paraId="230CCE0B" w14:textId="77777777" w:rsidR="00B4389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methodological foundation of this study is the LEAP system, a widely accepted scenario-based modeling tool (</w:t>
      </w:r>
      <w:proofErr w:type="spellStart"/>
      <w:r>
        <w:rPr>
          <w:rFonts w:ascii="Times New Roman" w:eastAsia="Times New Roman" w:hAnsi="Times New Roman" w:cs="Times New Roman"/>
          <w:sz w:val="24"/>
          <w:szCs w:val="24"/>
        </w:rPr>
        <w:t>Emodi</w:t>
      </w:r>
      <w:proofErr w:type="spellEnd"/>
      <w:r>
        <w:rPr>
          <w:rFonts w:ascii="Times New Roman" w:eastAsia="Times New Roman" w:hAnsi="Times New Roman" w:cs="Times New Roman"/>
          <w:sz w:val="24"/>
          <w:szCs w:val="24"/>
        </w:rPr>
        <w:t xml:space="preserve"> et al., 2017). Developed by the Stockholm Environment Institute (SEI), LEAP enables users to define and quantify how key metrics, such as energy demand, supply, and greenhouse gas emissions, evolve across alternative policy or technological scenarios (</w:t>
      </w:r>
      <w:proofErr w:type="spellStart"/>
      <w:r>
        <w:rPr>
          <w:rFonts w:ascii="Times New Roman" w:eastAsia="Times New Roman" w:hAnsi="Times New Roman" w:cs="Times New Roman"/>
          <w:sz w:val="24"/>
          <w:szCs w:val="24"/>
        </w:rPr>
        <w:t>Emodi</w:t>
      </w:r>
      <w:proofErr w:type="spellEnd"/>
      <w:r>
        <w:rPr>
          <w:rFonts w:ascii="Times New Roman" w:eastAsia="Times New Roman" w:hAnsi="Times New Roman" w:cs="Times New Roman"/>
          <w:sz w:val="24"/>
          <w:szCs w:val="24"/>
        </w:rPr>
        <w:t xml:space="preserve"> et al., 2017; Finkle et al., 2025). This framework is frequently employed in long-term energy planning studies for developing economies, including many African countries, due to its ability to model scenarios from business-as-usual to aggressive renewables deployment (</w:t>
      </w:r>
      <w:proofErr w:type="spellStart"/>
      <w:r>
        <w:rPr>
          <w:rFonts w:ascii="Times New Roman" w:eastAsia="Times New Roman" w:hAnsi="Times New Roman" w:cs="Times New Roman"/>
          <w:sz w:val="24"/>
          <w:szCs w:val="24"/>
        </w:rPr>
        <w:t>Emodi</w:t>
      </w:r>
      <w:proofErr w:type="spellEnd"/>
      <w:r>
        <w:rPr>
          <w:rFonts w:ascii="Times New Roman" w:eastAsia="Times New Roman" w:hAnsi="Times New Roman" w:cs="Times New Roman"/>
          <w:sz w:val="24"/>
          <w:szCs w:val="24"/>
        </w:rPr>
        <w:t xml:space="preserve"> et al., 2017; </w:t>
      </w:r>
      <w:proofErr w:type="spellStart"/>
      <w:r>
        <w:rPr>
          <w:rFonts w:ascii="Times New Roman" w:eastAsia="Times New Roman" w:hAnsi="Times New Roman" w:cs="Times New Roman"/>
          <w:sz w:val="24"/>
          <w:szCs w:val="24"/>
        </w:rPr>
        <w:t>Kemausuor</w:t>
      </w:r>
      <w:proofErr w:type="spellEnd"/>
      <w:r>
        <w:rPr>
          <w:rFonts w:ascii="Times New Roman" w:eastAsia="Times New Roman" w:hAnsi="Times New Roman" w:cs="Times New Roman"/>
          <w:sz w:val="24"/>
          <w:szCs w:val="24"/>
        </w:rPr>
        <w:t xml:space="preserve"> et al., 2018). For instance, LEAP has been successfully applied to construct low-carbon pathways for Nigeria and to compare national energy futures in South </w:t>
      </w:r>
      <w:r>
        <w:rPr>
          <w:rFonts w:ascii="Times New Roman" w:eastAsia="Times New Roman" w:hAnsi="Times New Roman" w:cs="Times New Roman"/>
          <w:sz w:val="24"/>
          <w:szCs w:val="24"/>
        </w:rPr>
        <w:lastRenderedPageBreak/>
        <w:t>Africa by disaggregating demand by sector and fuel (</w:t>
      </w:r>
      <w:proofErr w:type="spellStart"/>
      <w:r>
        <w:rPr>
          <w:rFonts w:ascii="Times New Roman" w:eastAsia="Times New Roman" w:hAnsi="Times New Roman" w:cs="Times New Roman"/>
          <w:sz w:val="24"/>
          <w:szCs w:val="24"/>
        </w:rPr>
        <w:t>Emodi</w:t>
      </w:r>
      <w:proofErr w:type="spellEnd"/>
      <w:r>
        <w:rPr>
          <w:rFonts w:ascii="Times New Roman" w:eastAsia="Times New Roman" w:hAnsi="Times New Roman" w:cs="Times New Roman"/>
          <w:sz w:val="24"/>
          <w:szCs w:val="24"/>
        </w:rPr>
        <w:t xml:space="preserve"> et al., 2017; </w:t>
      </w:r>
      <w:proofErr w:type="spellStart"/>
      <w:r>
        <w:rPr>
          <w:rFonts w:ascii="Times New Roman" w:eastAsia="Times New Roman" w:hAnsi="Times New Roman" w:cs="Times New Roman"/>
          <w:sz w:val="24"/>
          <w:szCs w:val="24"/>
        </w:rPr>
        <w:t>Taviv</w:t>
      </w:r>
      <w:proofErr w:type="spellEnd"/>
      <w:r>
        <w:rPr>
          <w:rFonts w:ascii="Times New Roman" w:eastAsia="Times New Roman" w:hAnsi="Times New Roman" w:cs="Times New Roman"/>
          <w:sz w:val="24"/>
          <w:szCs w:val="24"/>
        </w:rPr>
        <w:t xml:space="preserve"> et al., 2008). The model’s capacity for comprehensive policy analysis and long-term projection makes it an appropriate model for analyzing the Cape Town energy transition.</w:t>
      </w:r>
    </w:p>
    <w:p w14:paraId="3D494F8B"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current LEAP model, we will represent residential demand with separate branches for high-, middle-, and low-income households, each with its own demand level and RS capacity path based on the projections above. Rooftop PV will be modeled as a distributed generation technology attached to these branches, with technical and cost parameters drawn from recent literature. Eskom supply to Cape Town will be represented as centralized generation or imported electricity. Within each year, we will distinguish peak, off-peak, and load-shedding hours. In the baseline scenario, we will impose an exogenous level of unmet demand during load-shedding hours based on recent Stage 2–3 patterns. In higher-adoption scenarios, we will use LEAP to calculate how much of that load-shedding demand rooftop PV can meet in each income group and the remaining unmet load.</w:t>
      </w:r>
    </w:p>
    <w:p w14:paraId="407D4F47"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compare scenarios, we will track a small set of metrics. These include total rooftop PV capacity in 2050 and its distribution across income groups; the reduction in unmet demand during load-shedding hours (kWh) relative to the baseline; and the share of outage hours in which RS can fully cover residential demand for each income group. These metrics will allow us to assess not only which scenarios yield the largest overall PV expansion, but also which ones do more to reduce load shedding and expand the benefits of rooftop solar to low- and middle-income households.</w:t>
      </w:r>
    </w:p>
    <w:p w14:paraId="22573115" w14:textId="77777777" w:rsidR="00B43890" w:rsidRDefault="00000000">
      <w:pPr>
        <w:pStyle w:val="Heading1"/>
        <w:spacing w:line="240" w:lineRule="auto"/>
        <w:rPr>
          <w:rFonts w:ascii="Times New Roman" w:eastAsia="Times New Roman" w:hAnsi="Times New Roman" w:cs="Times New Roman"/>
          <w:b/>
          <w:bCs/>
          <w:color w:val="000000"/>
          <w:sz w:val="32"/>
          <w:szCs w:val="32"/>
        </w:rPr>
      </w:pPr>
      <w:bookmarkStart w:id="5" w:name="_nv0eceolt3mf" w:colFirst="0" w:colLast="0"/>
      <w:bookmarkEnd w:id="5"/>
      <w:r>
        <w:rPr>
          <w:rFonts w:ascii="Times New Roman" w:eastAsia="Times New Roman" w:hAnsi="Times New Roman" w:cs="Times New Roman"/>
          <w:b/>
          <w:bCs/>
          <w:color w:val="000000"/>
          <w:sz w:val="32"/>
          <w:szCs w:val="32"/>
        </w:rPr>
        <w:t>Results</w:t>
      </w:r>
    </w:p>
    <w:p w14:paraId="0602C7C0" w14:textId="77777777" w:rsidR="00B4389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adoption pathways and growth rates described in the Methods, we derive indicative 2050 rooftop solar capacities for each scenario. Table 1 summarizes the projected capacity increases by income group relative to the 2023 baseline of 6.4 MW. </w:t>
      </w:r>
    </w:p>
    <w:p w14:paraId="33B5D16A" w14:textId="77777777" w:rsidR="00B43890" w:rsidRDefault="00B43890">
      <w:pPr>
        <w:spacing w:line="240" w:lineRule="auto"/>
        <w:rPr>
          <w:rFonts w:ascii="Times New Roman" w:eastAsia="Times New Roman" w:hAnsi="Times New Roman" w:cs="Times New Roman"/>
          <w:sz w:val="24"/>
          <w:szCs w:val="24"/>
        </w:rPr>
      </w:pPr>
    </w:p>
    <w:p w14:paraId="612F9FFB" w14:textId="77777777" w:rsidR="00B43890" w:rsidRDefault="00B43890">
      <w:pPr>
        <w:widowControl w:val="0"/>
        <w:rPr>
          <w:rFonts w:ascii="Arial" w:eastAsia="Arial" w:hAnsi="Arial" w:cs="Arial"/>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7"/>
        <w:gridCol w:w="1326"/>
        <w:gridCol w:w="1017"/>
        <w:gridCol w:w="1109"/>
        <w:gridCol w:w="1182"/>
        <w:gridCol w:w="1091"/>
        <w:gridCol w:w="946"/>
        <w:gridCol w:w="1091"/>
        <w:gridCol w:w="1091"/>
      </w:tblGrid>
      <w:tr w:rsidR="00B43890" w14:paraId="60A1C8D4" w14:textId="77777777">
        <w:trPr>
          <w:trHeight w:val="820"/>
        </w:trPr>
        <w:tc>
          <w:tcPr>
            <w:tcW w:w="508" w:type="dxa"/>
            <w:tcMar>
              <w:top w:w="100" w:type="dxa"/>
              <w:left w:w="100" w:type="dxa"/>
              <w:bottom w:w="100" w:type="dxa"/>
              <w:right w:w="100" w:type="dxa"/>
            </w:tcMar>
          </w:tcPr>
          <w:p w14:paraId="7B193D2B" w14:textId="77777777" w:rsidR="00B43890" w:rsidRDefault="00B43890">
            <w:pPr>
              <w:widowControl w:val="0"/>
              <w:spacing w:line="240" w:lineRule="auto"/>
              <w:rPr>
                <w:rFonts w:ascii="Times New Roman" w:eastAsia="Times New Roman" w:hAnsi="Times New Roman" w:cs="Times New Roman"/>
                <w:sz w:val="24"/>
                <w:szCs w:val="24"/>
              </w:rPr>
            </w:pPr>
          </w:p>
        </w:tc>
        <w:tc>
          <w:tcPr>
            <w:tcW w:w="1326" w:type="dxa"/>
            <w:tcMar>
              <w:top w:w="100" w:type="dxa"/>
              <w:left w:w="100" w:type="dxa"/>
              <w:bottom w:w="100" w:type="dxa"/>
              <w:right w:w="100" w:type="dxa"/>
            </w:tcMar>
          </w:tcPr>
          <w:p w14:paraId="124C846C"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p w14:paraId="1C80E8FF"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Income Growth Rate</w:t>
            </w:r>
          </w:p>
        </w:tc>
        <w:tc>
          <w:tcPr>
            <w:tcW w:w="1017" w:type="dxa"/>
            <w:tcMar>
              <w:top w:w="100" w:type="dxa"/>
              <w:left w:w="100" w:type="dxa"/>
              <w:bottom w:w="100" w:type="dxa"/>
              <w:right w:w="100" w:type="dxa"/>
            </w:tcMar>
          </w:tcPr>
          <w:p w14:paraId="1877363C"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 Δ (MW)</w:t>
            </w:r>
          </w:p>
        </w:tc>
        <w:tc>
          <w:tcPr>
            <w:tcW w:w="1108" w:type="dxa"/>
            <w:tcMar>
              <w:top w:w="100" w:type="dxa"/>
              <w:left w:w="100" w:type="dxa"/>
              <w:bottom w:w="100" w:type="dxa"/>
              <w:right w:w="100" w:type="dxa"/>
            </w:tcMar>
          </w:tcPr>
          <w:p w14:paraId="30686D18"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p w14:paraId="312E0EA2"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Income Growth Rate</w:t>
            </w:r>
          </w:p>
        </w:tc>
        <w:tc>
          <w:tcPr>
            <w:tcW w:w="1181" w:type="dxa"/>
            <w:tcMar>
              <w:top w:w="100" w:type="dxa"/>
              <w:left w:w="100" w:type="dxa"/>
              <w:bottom w:w="100" w:type="dxa"/>
              <w:right w:w="100" w:type="dxa"/>
            </w:tcMar>
          </w:tcPr>
          <w:p w14:paraId="4EF41951"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 Δ (MW)</w:t>
            </w:r>
          </w:p>
        </w:tc>
        <w:tc>
          <w:tcPr>
            <w:tcW w:w="1090" w:type="dxa"/>
            <w:tcMar>
              <w:top w:w="100" w:type="dxa"/>
              <w:left w:w="100" w:type="dxa"/>
              <w:bottom w:w="100" w:type="dxa"/>
              <w:right w:w="100" w:type="dxa"/>
            </w:tcMar>
          </w:tcPr>
          <w:p w14:paraId="057C28AC"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p w14:paraId="073105B6"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income growth rate</w:t>
            </w:r>
          </w:p>
        </w:tc>
        <w:tc>
          <w:tcPr>
            <w:tcW w:w="945" w:type="dxa"/>
            <w:tcMar>
              <w:top w:w="100" w:type="dxa"/>
              <w:left w:w="100" w:type="dxa"/>
              <w:bottom w:w="100" w:type="dxa"/>
              <w:right w:w="100" w:type="dxa"/>
            </w:tcMar>
          </w:tcPr>
          <w:p w14:paraId="7EB4C592"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 Δ (MW)</w:t>
            </w:r>
          </w:p>
          <w:p w14:paraId="780C638D" w14:textId="77777777" w:rsidR="00B43890" w:rsidRDefault="00B43890">
            <w:pPr>
              <w:widowControl w:val="0"/>
              <w:spacing w:line="240" w:lineRule="auto"/>
              <w:rPr>
                <w:rFonts w:ascii="Times New Roman" w:eastAsia="Times New Roman" w:hAnsi="Times New Roman" w:cs="Times New Roman"/>
                <w:sz w:val="24"/>
                <w:szCs w:val="24"/>
              </w:rPr>
            </w:pPr>
          </w:p>
        </w:tc>
        <w:tc>
          <w:tcPr>
            <w:tcW w:w="1090" w:type="dxa"/>
            <w:tcMar>
              <w:top w:w="100" w:type="dxa"/>
              <w:left w:w="100" w:type="dxa"/>
              <w:bottom w:w="100" w:type="dxa"/>
              <w:right w:w="100" w:type="dxa"/>
            </w:tcMar>
          </w:tcPr>
          <w:p w14:paraId="0E541F9F"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Δ capacity (MW)</w:t>
            </w:r>
          </w:p>
        </w:tc>
        <w:tc>
          <w:tcPr>
            <w:tcW w:w="1090" w:type="dxa"/>
            <w:tcMar>
              <w:top w:w="100" w:type="dxa"/>
              <w:left w:w="100" w:type="dxa"/>
              <w:bottom w:w="100" w:type="dxa"/>
              <w:right w:w="100" w:type="dxa"/>
            </w:tcMar>
          </w:tcPr>
          <w:p w14:paraId="4C4DD2EE"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 Capacity</w:t>
            </w:r>
          </w:p>
        </w:tc>
      </w:tr>
      <w:tr w:rsidR="00B43890" w14:paraId="70E79DF8" w14:textId="77777777">
        <w:trPr>
          <w:trHeight w:val="580"/>
        </w:trPr>
        <w:tc>
          <w:tcPr>
            <w:tcW w:w="508" w:type="dxa"/>
            <w:tcMar>
              <w:top w:w="100" w:type="dxa"/>
              <w:left w:w="100" w:type="dxa"/>
              <w:bottom w:w="100" w:type="dxa"/>
              <w:right w:w="100" w:type="dxa"/>
            </w:tcMar>
          </w:tcPr>
          <w:p w14:paraId="39A25B16"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S0</w:t>
            </w:r>
          </w:p>
        </w:tc>
        <w:tc>
          <w:tcPr>
            <w:tcW w:w="1326" w:type="dxa"/>
            <w:tcMar>
              <w:top w:w="100" w:type="dxa"/>
              <w:left w:w="100" w:type="dxa"/>
              <w:bottom w:w="100" w:type="dxa"/>
              <w:right w:w="100" w:type="dxa"/>
            </w:tcMar>
          </w:tcPr>
          <w:p w14:paraId="248D2E50"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1017" w:type="dxa"/>
            <w:tcMar>
              <w:top w:w="100" w:type="dxa"/>
              <w:left w:w="100" w:type="dxa"/>
              <w:bottom w:w="100" w:type="dxa"/>
              <w:right w:w="100" w:type="dxa"/>
            </w:tcMar>
          </w:tcPr>
          <w:p w14:paraId="57368C4D"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5.42</w:t>
            </w:r>
          </w:p>
        </w:tc>
        <w:tc>
          <w:tcPr>
            <w:tcW w:w="1108" w:type="dxa"/>
            <w:tcMar>
              <w:top w:w="100" w:type="dxa"/>
              <w:left w:w="100" w:type="dxa"/>
              <w:bottom w:w="100" w:type="dxa"/>
              <w:right w:w="100" w:type="dxa"/>
            </w:tcMar>
          </w:tcPr>
          <w:p w14:paraId="62B14C9F"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c>
          <w:tcPr>
            <w:tcW w:w="1181" w:type="dxa"/>
            <w:tcMar>
              <w:top w:w="100" w:type="dxa"/>
              <w:left w:w="100" w:type="dxa"/>
              <w:bottom w:w="100" w:type="dxa"/>
              <w:right w:w="100" w:type="dxa"/>
            </w:tcMar>
          </w:tcPr>
          <w:p w14:paraId="46D56A1F"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2.32</w:t>
            </w:r>
          </w:p>
        </w:tc>
        <w:tc>
          <w:tcPr>
            <w:tcW w:w="1090" w:type="dxa"/>
            <w:tcMar>
              <w:top w:w="100" w:type="dxa"/>
              <w:left w:w="100" w:type="dxa"/>
              <w:bottom w:w="100" w:type="dxa"/>
              <w:right w:w="100" w:type="dxa"/>
            </w:tcMar>
          </w:tcPr>
          <w:p w14:paraId="0454F27E"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45" w:type="dxa"/>
            <w:tcMar>
              <w:top w:w="100" w:type="dxa"/>
              <w:left w:w="100" w:type="dxa"/>
              <w:bottom w:w="100" w:type="dxa"/>
              <w:right w:w="100" w:type="dxa"/>
            </w:tcMar>
          </w:tcPr>
          <w:p w14:paraId="49E78D56"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90" w:type="dxa"/>
            <w:tcMar>
              <w:top w:w="100" w:type="dxa"/>
              <w:left w:w="100" w:type="dxa"/>
              <w:bottom w:w="100" w:type="dxa"/>
              <w:right w:w="100" w:type="dxa"/>
            </w:tcMar>
          </w:tcPr>
          <w:p w14:paraId="5325F39C"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7.74</w:t>
            </w:r>
          </w:p>
        </w:tc>
        <w:tc>
          <w:tcPr>
            <w:tcW w:w="1090" w:type="dxa"/>
            <w:tcMar>
              <w:top w:w="100" w:type="dxa"/>
              <w:left w:w="100" w:type="dxa"/>
              <w:bottom w:w="100" w:type="dxa"/>
              <w:right w:w="100" w:type="dxa"/>
            </w:tcMar>
          </w:tcPr>
          <w:p w14:paraId="71FF7991"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14.14</w:t>
            </w:r>
          </w:p>
        </w:tc>
      </w:tr>
      <w:tr w:rsidR="00B43890" w14:paraId="045FE4B6" w14:textId="77777777">
        <w:trPr>
          <w:trHeight w:val="580"/>
        </w:trPr>
        <w:tc>
          <w:tcPr>
            <w:tcW w:w="508" w:type="dxa"/>
            <w:tcMar>
              <w:top w:w="100" w:type="dxa"/>
              <w:left w:w="100" w:type="dxa"/>
              <w:bottom w:w="100" w:type="dxa"/>
              <w:right w:w="100" w:type="dxa"/>
            </w:tcMar>
          </w:tcPr>
          <w:p w14:paraId="00A41B53"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1326" w:type="dxa"/>
            <w:tcMar>
              <w:top w:w="100" w:type="dxa"/>
              <w:left w:w="100" w:type="dxa"/>
              <w:bottom w:w="100" w:type="dxa"/>
              <w:right w:w="100" w:type="dxa"/>
            </w:tcMar>
          </w:tcPr>
          <w:p w14:paraId="32B8E5BE"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017" w:type="dxa"/>
            <w:tcMar>
              <w:top w:w="100" w:type="dxa"/>
              <w:left w:w="100" w:type="dxa"/>
              <w:bottom w:w="100" w:type="dxa"/>
              <w:right w:w="100" w:type="dxa"/>
            </w:tcMar>
          </w:tcPr>
          <w:p w14:paraId="7A527267"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6.71</w:t>
            </w:r>
          </w:p>
        </w:tc>
        <w:tc>
          <w:tcPr>
            <w:tcW w:w="1108" w:type="dxa"/>
            <w:tcMar>
              <w:top w:w="100" w:type="dxa"/>
              <w:left w:w="100" w:type="dxa"/>
              <w:bottom w:w="100" w:type="dxa"/>
              <w:right w:w="100" w:type="dxa"/>
            </w:tcMar>
          </w:tcPr>
          <w:p w14:paraId="47FBD097"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181" w:type="dxa"/>
            <w:tcMar>
              <w:top w:w="100" w:type="dxa"/>
              <w:left w:w="100" w:type="dxa"/>
              <w:bottom w:w="100" w:type="dxa"/>
              <w:right w:w="100" w:type="dxa"/>
            </w:tcMar>
          </w:tcPr>
          <w:p w14:paraId="227E19FB"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2.73</w:t>
            </w:r>
          </w:p>
        </w:tc>
        <w:tc>
          <w:tcPr>
            <w:tcW w:w="1090" w:type="dxa"/>
            <w:tcMar>
              <w:top w:w="100" w:type="dxa"/>
              <w:left w:w="100" w:type="dxa"/>
              <w:bottom w:w="100" w:type="dxa"/>
              <w:right w:w="100" w:type="dxa"/>
            </w:tcMar>
          </w:tcPr>
          <w:p w14:paraId="5AB785F4"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45" w:type="dxa"/>
            <w:tcMar>
              <w:top w:w="100" w:type="dxa"/>
              <w:left w:w="100" w:type="dxa"/>
              <w:bottom w:w="100" w:type="dxa"/>
              <w:right w:w="100" w:type="dxa"/>
            </w:tcMar>
          </w:tcPr>
          <w:p w14:paraId="4D9ABE54"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0.090</w:t>
            </w:r>
          </w:p>
        </w:tc>
        <w:tc>
          <w:tcPr>
            <w:tcW w:w="1090" w:type="dxa"/>
            <w:tcMar>
              <w:top w:w="100" w:type="dxa"/>
              <w:left w:w="100" w:type="dxa"/>
              <w:bottom w:w="100" w:type="dxa"/>
              <w:right w:w="100" w:type="dxa"/>
            </w:tcMar>
          </w:tcPr>
          <w:p w14:paraId="44846A71"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9.52</w:t>
            </w:r>
          </w:p>
        </w:tc>
        <w:tc>
          <w:tcPr>
            <w:tcW w:w="1090" w:type="dxa"/>
            <w:tcMar>
              <w:top w:w="100" w:type="dxa"/>
              <w:left w:w="100" w:type="dxa"/>
              <w:bottom w:w="100" w:type="dxa"/>
              <w:right w:w="100" w:type="dxa"/>
            </w:tcMar>
          </w:tcPr>
          <w:p w14:paraId="26F4474C"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15.92</w:t>
            </w:r>
          </w:p>
        </w:tc>
      </w:tr>
      <w:tr w:rsidR="00B43890" w14:paraId="7EA71312" w14:textId="77777777">
        <w:trPr>
          <w:trHeight w:val="580"/>
        </w:trPr>
        <w:tc>
          <w:tcPr>
            <w:tcW w:w="508" w:type="dxa"/>
            <w:tcMar>
              <w:top w:w="100" w:type="dxa"/>
              <w:left w:w="100" w:type="dxa"/>
              <w:bottom w:w="100" w:type="dxa"/>
              <w:right w:w="100" w:type="dxa"/>
            </w:tcMar>
          </w:tcPr>
          <w:p w14:paraId="6DD5D323"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S2</w:t>
            </w:r>
          </w:p>
        </w:tc>
        <w:tc>
          <w:tcPr>
            <w:tcW w:w="1326" w:type="dxa"/>
            <w:tcMar>
              <w:top w:w="100" w:type="dxa"/>
              <w:left w:w="100" w:type="dxa"/>
              <w:bottom w:w="100" w:type="dxa"/>
              <w:right w:w="100" w:type="dxa"/>
            </w:tcMar>
          </w:tcPr>
          <w:p w14:paraId="3F11C852"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1017" w:type="dxa"/>
            <w:tcMar>
              <w:top w:w="100" w:type="dxa"/>
              <w:left w:w="100" w:type="dxa"/>
              <w:bottom w:w="100" w:type="dxa"/>
              <w:right w:w="100" w:type="dxa"/>
            </w:tcMar>
          </w:tcPr>
          <w:p w14:paraId="283ECD21"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5.27</w:t>
            </w:r>
          </w:p>
        </w:tc>
        <w:tc>
          <w:tcPr>
            <w:tcW w:w="1108" w:type="dxa"/>
            <w:tcMar>
              <w:top w:w="100" w:type="dxa"/>
              <w:left w:w="100" w:type="dxa"/>
              <w:bottom w:w="100" w:type="dxa"/>
              <w:right w:w="100" w:type="dxa"/>
            </w:tcMar>
          </w:tcPr>
          <w:p w14:paraId="0C502E94"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181" w:type="dxa"/>
            <w:tcMar>
              <w:top w:w="100" w:type="dxa"/>
              <w:left w:w="100" w:type="dxa"/>
              <w:bottom w:w="100" w:type="dxa"/>
              <w:right w:w="100" w:type="dxa"/>
            </w:tcMar>
          </w:tcPr>
          <w:p w14:paraId="7B179118"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2.14</w:t>
            </w:r>
          </w:p>
        </w:tc>
        <w:tc>
          <w:tcPr>
            <w:tcW w:w="1090" w:type="dxa"/>
            <w:tcMar>
              <w:top w:w="100" w:type="dxa"/>
              <w:left w:w="100" w:type="dxa"/>
              <w:bottom w:w="100" w:type="dxa"/>
              <w:right w:w="100" w:type="dxa"/>
            </w:tcMar>
          </w:tcPr>
          <w:p w14:paraId="522641CD"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945" w:type="dxa"/>
            <w:tcMar>
              <w:top w:w="100" w:type="dxa"/>
              <w:left w:w="100" w:type="dxa"/>
              <w:bottom w:w="100" w:type="dxa"/>
              <w:right w:w="100" w:type="dxa"/>
            </w:tcMar>
          </w:tcPr>
          <w:p w14:paraId="20B72785"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090" w:type="dxa"/>
            <w:tcMar>
              <w:top w:w="100" w:type="dxa"/>
              <w:left w:w="100" w:type="dxa"/>
              <w:bottom w:w="100" w:type="dxa"/>
              <w:right w:w="100" w:type="dxa"/>
            </w:tcMar>
          </w:tcPr>
          <w:p w14:paraId="2D73EF30"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7.42</w:t>
            </w:r>
          </w:p>
        </w:tc>
        <w:tc>
          <w:tcPr>
            <w:tcW w:w="1090" w:type="dxa"/>
            <w:tcMar>
              <w:top w:w="100" w:type="dxa"/>
              <w:left w:w="100" w:type="dxa"/>
              <w:bottom w:w="100" w:type="dxa"/>
              <w:right w:w="100" w:type="dxa"/>
            </w:tcMar>
          </w:tcPr>
          <w:p w14:paraId="53ABBE0E"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13.82</w:t>
            </w:r>
          </w:p>
        </w:tc>
      </w:tr>
      <w:tr w:rsidR="00B43890" w14:paraId="0E7D97FD" w14:textId="77777777">
        <w:trPr>
          <w:trHeight w:val="580"/>
        </w:trPr>
        <w:tc>
          <w:tcPr>
            <w:tcW w:w="508" w:type="dxa"/>
            <w:tcMar>
              <w:top w:w="100" w:type="dxa"/>
              <w:left w:w="100" w:type="dxa"/>
              <w:bottom w:w="100" w:type="dxa"/>
              <w:right w:w="100" w:type="dxa"/>
            </w:tcMar>
          </w:tcPr>
          <w:p w14:paraId="6A93A0A2"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S3</w:t>
            </w:r>
          </w:p>
        </w:tc>
        <w:tc>
          <w:tcPr>
            <w:tcW w:w="1326" w:type="dxa"/>
            <w:tcMar>
              <w:top w:w="100" w:type="dxa"/>
              <w:left w:w="100" w:type="dxa"/>
              <w:bottom w:w="100" w:type="dxa"/>
              <w:right w:w="100" w:type="dxa"/>
            </w:tcMar>
          </w:tcPr>
          <w:p w14:paraId="3C8653DF"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1017" w:type="dxa"/>
            <w:tcMar>
              <w:top w:w="100" w:type="dxa"/>
              <w:left w:w="100" w:type="dxa"/>
              <w:bottom w:w="100" w:type="dxa"/>
              <w:right w:w="100" w:type="dxa"/>
            </w:tcMar>
          </w:tcPr>
          <w:p w14:paraId="084C76DE"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5.72</w:t>
            </w:r>
          </w:p>
        </w:tc>
        <w:tc>
          <w:tcPr>
            <w:tcW w:w="1108" w:type="dxa"/>
            <w:tcMar>
              <w:top w:w="100" w:type="dxa"/>
              <w:left w:w="100" w:type="dxa"/>
              <w:bottom w:w="100" w:type="dxa"/>
              <w:right w:w="100" w:type="dxa"/>
            </w:tcMar>
          </w:tcPr>
          <w:p w14:paraId="7878E8DA"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181" w:type="dxa"/>
            <w:tcMar>
              <w:top w:w="100" w:type="dxa"/>
              <w:left w:w="100" w:type="dxa"/>
              <w:bottom w:w="100" w:type="dxa"/>
              <w:right w:w="100" w:type="dxa"/>
            </w:tcMar>
          </w:tcPr>
          <w:p w14:paraId="5189FAF7"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2.58</w:t>
            </w:r>
          </w:p>
        </w:tc>
        <w:tc>
          <w:tcPr>
            <w:tcW w:w="1090" w:type="dxa"/>
            <w:tcMar>
              <w:top w:w="100" w:type="dxa"/>
              <w:left w:w="100" w:type="dxa"/>
              <w:bottom w:w="100" w:type="dxa"/>
              <w:right w:w="100" w:type="dxa"/>
            </w:tcMar>
          </w:tcPr>
          <w:p w14:paraId="356DB4AA" w14:textId="77777777" w:rsidR="00B4389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945" w:type="dxa"/>
            <w:tcMar>
              <w:top w:w="100" w:type="dxa"/>
              <w:left w:w="100" w:type="dxa"/>
              <w:bottom w:w="100" w:type="dxa"/>
              <w:right w:w="100" w:type="dxa"/>
            </w:tcMar>
          </w:tcPr>
          <w:p w14:paraId="4CB8BCEB"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c>
          <w:tcPr>
            <w:tcW w:w="1090" w:type="dxa"/>
            <w:tcMar>
              <w:top w:w="100" w:type="dxa"/>
              <w:left w:w="100" w:type="dxa"/>
              <w:bottom w:w="100" w:type="dxa"/>
              <w:right w:w="100" w:type="dxa"/>
            </w:tcMar>
          </w:tcPr>
          <w:p w14:paraId="66345112"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8.51</w:t>
            </w:r>
          </w:p>
        </w:tc>
        <w:tc>
          <w:tcPr>
            <w:tcW w:w="1090" w:type="dxa"/>
            <w:tcMar>
              <w:top w:w="100" w:type="dxa"/>
              <w:left w:w="100" w:type="dxa"/>
              <w:bottom w:w="100" w:type="dxa"/>
              <w:right w:w="100" w:type="dxa"/>
            </w:tcMar>
          </w:tcPr>
          <w:p w14:paraId="0017073E" w14:textId="77777777" w:rsidR="00B4389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14.91</w:t>
            </w:r>
          </w:p>
        </w:tc>
      </w:tr>
    </w:tbl>
    <w:p w14:paraId="033C7CD0" w14:textId="77777777" w:rsidR="00B43890" w:rsidRDefault="00B43890">
      <w:pPr>
        <w:spacing w:line="240" w:lineRule="auto"/>
        <w:rPr>
          <w:rFonts w:ascii="Times New Roman" w:eastAsia="Times New Roman" w:hAnsi="Times New Roman" w:cs="Times New Roman"/>
          <w:b/>
          <w:bCs/>
          <w:sz w:val="24"/>
          <w:szCs w:val="24"/>
        </w:rPr>
      </w:pPr>
    </w:p>
    <w:p w14:paraId="428CE5AA" w14:textId="77777777" w:rsidR="00B4389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Based on baseline conditions and estimated changes in adoption rates, Scenario 1 (pro-solar) will lead to the greatest increase in Cape Town’s solar capacity, while Scenario 2 (utility protection) will result in the least amount of change, with 1229.99 kW capacity increase less than Scenario 1. Running the models through LEAP will provide more accurate results to better understand the implications of these changes for load shedding frequency. For example, although Scenario 1 increases solar capacity and reduces demand on the utility’s grid, the same policies decrease utility revenue and the utility's potential investment in improving grid infrastructure. </w:t>
      </w:r>
    </w:p>
    <w:p w14:paraId="32537196"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distribution of new capacity across income groups also differs by scenario. In the BAU and utility protection scenarios, most of the additional capacity is expected to be concentrated in high-income households, with very little growth in low-income areas. The pro-solar scenario increases capacity for all groups but still leaves low-income households with only a small share of the total gains. In contrast, the LMI-targeted scenario yields less total capacity than the pro-solar case but delivers a larger absolute and relative increase for low-income households, reflecting the targeted design of its incentives.</w:t>
      </w:r>
    </w:p>
    <w:p w14:paraId="4639630E"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estimates are preliminary and depend on simplified growth assumptions. They are intended to indicate the relative strength and distribution of different RS expansion scenarios. In the next stage, we will implement these scenarios in LEAP to display the impact of different capacities on load-shedding hours and unmet demand.</w:t>
      </w:r>
    </w:p>
    <w:p w14:paraId="2299E894" w14:textId="77777777" w:rsidR="00B43890" w:rsidRDefault="00B43890">
      <w:pPr>
        <w:spacing w:line="240" w:lineRule="auto"/>
        <w:rPr>
          <w:rFonts w:ascii="Times New Roman" w:eastAsia="Times New Roman" w:hAnsi="Times New Roman" w:cs="Times New Roman"/>
          <w:sz w:val="24"/>
          <w:szCs w:val="24"/>
        </w:rPr>
      </w:pPr>
    </w:p>
    <w:p w14:paraId="057C3D1A" w14:textId="77777777" w:rsidR="00B43890" w:rsidRDefault="00000000">
      <w:pPr>
        <w:pStyle w:val="Heading1"/>
        <w:spacing w:line="240" w:lineRule="auto"/>
        <w:rPr>
          <w:rFonts w:ascii="Times New Roman" w:eastAsia="Times New Roman" w:hAnsi="Times New Roman" w:cs="Times New Roman"/>
          <w:b/>
          <w:bCs/>
          <w:color w:val="000000"/>
          <w:sz w:val="32"/>
          <w:szCs w:val="32"/>
        </w:rPr>
      </w:pPr>
      <w:bookmarkStart w:id="6" w:name="_ip6wf85hkytf" w:colFirst="0" w:colLast="0"/>
      <w:bookmarkEnd w:id="6"/>
      <w:r>
        <w:rPr>
          <w:rFonts w:ascii="Times New Roman" w:eastAsia="Times New Roman" w:hAnsi="Times New Roman" w:cs="Times New Roman"/>
          <w:b/>
          <w:bCs/>
          <w:color w:val="000000"/>
          <w:sz w:val="32"/>
          <w:szCs w:val="32"/>
        </w:rPr>
        <w:t>Discussion</w:t>
      </w:r>
    </w:p>
    <w:p w14:paraId="0A40BEED"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color w:val="000000"/>
          <w:sz w:val="24"/>
          <w:szCs w:val="24"/>
        </w:rPr>
        <w:t xml:space="preserve"> preliminary results from </w:t>
      </w:r>
      <w:r>
        <w:rPr>
          <w:rFonts w:ascii="Times New Roman" w:eastAsia="Times New Roman" w:hAnsi="Times New Roman" w:cs="Times New Roman"/>
          <w:sz w:val="24"/>
          <w:szCs w:val="24"/>
        </w:rPr>
        <w:t>this</w:t>
      </w:r>
      <w:r>
        <w:rPr>
          <w:rFonts w:ascii="Times New Roman" w:eastAsia="Times New Roman" w:hAnsi="Times New Roman" w:cs="Times New Roman"/>
          <w:color w:val="000000"/>
          <w:sz w:val="24"/>
          <w:szCs w:val="24"/>
        </w:rPr>
        <w:t xml:space="preserve"> rough scenario analysis highlight the </w:t>
      </w:r>
      <w:r>
        <w:rPr>
          <w:rFonts w:ascii="Times New Roman" w:eastAsia="Times New Roman" w:hAnsi="Times New Roman" w:cs="Times New Roman"/>
          <w:sz w:val="24"/>
          <w:szCs w:val="24"/>
        </w:rPr>
        <w:t xml:space="preserve">nuances of incentive design, growth rate inferences, and the ultimate question of which scenario outcome is most effective for combating load shedding and ensuring an equitable energy transition. While early findings indicate that the greatest increase in solar capacity from Scenario 1 (pro-solar) could yield a ~7.6% increase from baseline conditions, the implications of that uptake for alleviating load shedding have not been examined. Secondly, this scenario disproportionately benefits middle to high-income groups and only modestly supports the low-income population. Whereas Scenario 3 (LMI-Targeted) resulted in a ~3.5% increase in capacity, less than half the increase of Scenario 1. This disparity in capacity outcomes between the two income-targeted scenarios should be further examined to determine how the respective increases could </w:t>
      </w:r>
      <w:proofErr w:type="gramStart"/>
      <w:r>
        <w:rPr>
          <w:rFonts w:ascii="Times New Roman" w:eastAsia="Times New Roman" w:hAnsi="Times New Roman" w:cs="Times New Roman"/>
          <w:sz w:val="24"/>
          <w:szCs w:val="24"/>
        </w:rPr>
        <w:t>actually prevent</w:t>
      </w:r>
      <w:proofErr w:type="gramEnd"/>
      <w:r>
        <w:rPr>
          <w:rFonts w:ascii="Times New Roman" w:eastAsia="Times New Roman" w:hAnsi="Times New Roman" w:cs="Times New Roman"/>
          <w:sz w:val="24"/>
          <w:szCs w:val="24"/>
        </w:rPr>
        <w:t xml:space="preserve"> load shedding if at all, and, importantly, which variances in incentive design selectively benefit each population. </w:t>
      </w:r>
    </w:p>
    <w:p w14:paraId="70E95194"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Scenario 2 (utility protection), which yields a ~1.4% decrease in capacity from the baseline, should be further investigated regarding its design structure. This incentive structure likely </w:t>
      </w:r>
      <w:proofErr w:type="spellStart"/>
      <w:r>
        <w:rPr>
          <w:rFonts w:ascii="Times New Roman" w:eastAsia="Times New Roman" w:hAnsi="Times New Roman" w:cs="Times New Roman"/>
          <w:sz w:val="24"/>
          <w:szCs w:val="24"/>
        </w:rPr>
        <w:t>overweights</w:t>
      </w:r>
      <w:proofErr w:type="spellEnd"/>
      <w:r>
        <w:rPr>
          <w:rFonts w:ascii="Times New Roman" w:eastAsia="Times New Roman" w:hAnsi="Times New Roman" w:cs="Times New Roman"/>
          <w:sz w:val="24"/>
          <w:szCs w:val="24"/>
        </w:rPr>
        <w:t xml:space="preserve"> Eskom’s revenue protection in its current state. While protecting Eskom’s financial viability is a concern, it should be possible to implement a middle-ground scenario that considers Eskom without </w:t>
      </w:r>
      <w:proofErr w:type="gramStart"/>
      <w:r>
        <w:rPr>
          <w:rFonts w:ascii="Times New Roman" w:eastAsia="Times New Roman" w:hAnsi="Times New Roman" w:cs="Times New Roman"/>
          <w:sz w:val="24"/>
          <w:szCs w:val="24"/>
        </w:rPr>
        <w:t>actually decreasing</w:t>
      </w:r>
      <w:proofErr w:type="gramEnd"/>
      <w:r>
        <w:rPr>
          <w:rFonts w:ascii="Times New Roman" w:eastAsia="Times New Roman" w:hAnsi="Times New Roman" w:cs="Times New Roman"/>
          <w:sz w:val="24"/>
          <w:szCs w:val="24"/>
        </w:rPr>
        <w:t xml:space="preserve"> overall capacity. </w:t>
      </w:r>
    </w:p>
    <w:p w14:paraId="41EB7F8B" w14:textId="77777777" w:rsidR="00B43890"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w:t>
      </w:r>
      <w:proofErr w:type="gramStart"/>
      <w:r>
        <w:rPr>
          <w:rFonts w:ascii="Times New Roman" w:eastAsia="Times New Roman" w:hAnsi="Times New Roman" w:cs="Times New Roman"/>
          <w:sz w:val="24"/>
          <w:szCs w:val="24"/>
        </w:rPr>
        <w:t>final results</w:t>
      </w:r>
      <w:proofErr w:type="gramEnd"/>
      <w:r>
        <w:rPr>
          <w:rFonts w:ascii="Times New Roman" w:eastAsia="Times New Roman" w:hAnsi="Times New Roman" w:cs="Times New Roman"/>
          <w:sz w:val="24"/>
          <w:szCs w:val="24"/>
        </w:rPr>
        <w:t xml:space="preserve"> might differ from our predicted results due to various factors. The quantity and distribution of solar PV systems in Cape Town will be updated in the LEAP model, which will change the expected solar capacity growth. With further research, the assumed change in adaptation rates might become more accurate. The relative impacts of changes in utility revenue and solar capacity on load shedding frequency will be further clarified when running the scenarios through the LEAP model. Finally, our calculations do not account for </w:t>
      </w:r>
      <w:r>
        <w:rPr>
          <w:rFonts w:ascii="Times New Roman" w:eastAsia="Times New Roman" w:hAnsi="Times New Roman" w:cs="Times New Roman"/>
          <w:sz w:val="24"/>
          <w:szCs w:val="24"/>
        </w:rPr>
        <w:lastRenderedPageBreak/>
        <w:t>changes in median PV capacity, which would be important for quantifying changes in holistic solar capacity.</w:t>
      </w:r>
      <w:r>
        <w:br w:type="page"/>
      </w:r>
    </w:p>
    <w:p w14:paraId="0288DD2E" w14:textId="77777777" w:rsidR="00B43890" w:rsidRDefault="00000000">
      <w:pPr>
        <w:pStyle w:val="Heading1"/>
        <w:spacing w:line="240" w:lineRule="auto"/>
        <w:rPr>
          <w:rFonts w:ascii="Times New Roman" w:eastAsia="Times New Roman" w:hAnsi="Times New Roman" w:cs="Times New Roman"/>
          <w:b/>
          <w:bCs/>
          <w:color w:val="000000"/>
          <w:sz w:val="32"/>
          <w:szCs w:val="32"/>
        </w:rPr>
      </w:pPr>
      <w:bookmarkStart w:id="7" w:name="_w1lcmre62mxi" w:colFirst="0" w:colLast="0"/>
      <w:bookmarkEnd w:id="7"/>
      <w:r>
        <w:rPr>
          <w:rFonts w:ascii="Times New Roman" w:eastAsia="Times New Roman" w:hAnsi="Times New Roman" w:cs="Times New Roman"/>
          <w:b/>
          <w:bCs/>
          <w:color w:val="000000"/>
          <w:sz w:val="32"/>
          <w:szCs w:val="32"/>
        </w:rPr>
        <w:lastRenderedPageBreak/>
        <w:t>References</w:t>
      </w:r>
    </w:p>
    <w:p w14:paraId="5799CD7B" w14:textId="77777777" w:rsidR="00B43890" w:rsidRDefault="00000000">
      <w:pPr>
        <w:rPr>
          <w:sz w:val="20"/>
          <w:szCs w:val="20"/>
        </w:rPr>
      </w:pPr>
      <w:r>
        <w:rPr>
          <w:sz w:val="20"/>
          <w:szCs w:val="20"/>
        </w:rPr>
        <w:t xml:space="preserve">Amo-Aidoo, A., </w:t>
      </w:r>
      <w:proofErr w:type="spellStart"/>
      <w:r>
        <w:rPr>
          <w:sz w:val="20"/>
          <w:szCs w:val="20"/>
        </w:rPr>
        <w:t>Kumi</w:t>
      </w:r>
      <w:proofErr w:type="spellEnd"/>
      <w:r>
        <w:rPr>
          <w:sz w:val="20"/>
          <w:szCs w:val="20"/>
        </w:rPr>
        <w:t xml:space="preserve">, E. N., Hensel, O., </w:t>
      </w:r>
      <w:proofErr w:type="spellStart"/>
      <w:r>
        <w:rPr>
          <w:sz w:val="20"/>
          <w:szCs w:val="20"/>
        </w:rPr>
        <w:t>Korese</w:t>
      </w:r>
      <w:proofErr w:type="spellEnd"/>
      <w:r>
        <w:rPr>
          <w:sz w:val="20"/>
          <w:szCs w:val="20"/>
        </w:rPr>
        <w:t>, J. K., &amp; Sturm, B. (2022). Solar energy policy implementation in Ghana: A LEAP model analysis. Scientific African, 16, e01162.</w:t>
      </w:r>
    </w:p>
    <w:p w14:paraId="426CC220" w14:textId="77777777" w:rsidR="00B43890" w:rsidRDefault="00B43890">
      <w:pPr>
        <w:rPr>
          <w:sz w:val="20"/>
          <w:szCs w:val="20"/>
        </w:rPr>
      </w:pPr>
    </w:p>
    <w:p w14:paraId="61601951" w14:textId="77777777" w:rsidR="00B43890" w:rsidRDefault="00000000">
      <w:pPr>
        <w:rPr>
          <w:sz w:val="20"/>
          <w:szCs w:val="20"/>
        </w:rPr>
      </w:pPr>
      <w:proofErr w:type="spellStart"/>
      <w:r>
        <w:rPr>
          <w:color w:val="222222"/>
          <w:sz w:val="20"/>
          <w:szCs w:val="20"/>
          <w:highlight w:val="white"/>
        </w:rPr>
        <w:t>Apeh</w:t>
      </w:r>
      <w:proofErr w:type="spellEnd"/>
      <w:r>
        <w:rPr>
          <w:color w:val="222222"/>
          <w:sz w:val="20"/>
          <w:szCs w:val="20"/>
          <w:highlight w:val="white"/>
        </w:rPr>
        <w:t xml:space="preserve">, O. O., &amp; </w:t>
      </w:r>
      <w:proofErr w:type="spellStart"/>
      <w:r>
        <w:rPr>
          <w:color w:val="222222"/>
          <w:sz w:val="20"/>
          <w:szCs w:val="20"/>
          <w:highlight w:val="white"/>
        </w:rPr>
        <w:t>Nwulu</w:t>
      </w:r>
      <w:proofErr w:type="spellEnd"/>
      <w:r>
        <w:rPr>
          <w:color w:val="222222"/>
          <w:sz w:val="20"/>
          <w:szCs w:val="20"/>
          <w:highlight w:val="white"/>
        </w:rPr>
        <w:t>, N. I. (2024). Unlocking economic growth: Harnessing renewable energy to mitigate load shedding in Southern Africa. e-Prime-Advances in Electrical Engineering, Electronics and Energy, 10, 100869.</w:t>
      </w:r>
    </w:p>
    <w:p w14:paraId="3EB83482" w14:textId="77777777" w:rsidR="00B43890" w:rsidRDefault="00B43890">
      <w:pPr>
        <w:rPr>
          <w:sz w:val="20"/>
          <w:szCs w:val="20"/>
        </w:rPr>
      </w:pPr>
    </w:p>
    <w:p w14:paraId="3BC33146" w14:textId="77777777" w:rsidR="00B43890" w:rsidRDefault="00000000">
      <w:pPr>
        <w:rPr>
          <w:sz w:val="20"/>
          <w:szCs w:val="20"/>
        </w:rPr>
      </w:pPr>
      <w:r>
        <w:rPr>
          <w:sz w:val="20"/>
          <w:szCs w:val="20"/>
        </w:rPr>
        <w:t>Baker, L., &amp; Phillips, J. (2019). Tensions in the transition: The politics of electricity distribution in South Africa. Environment and Planning C: Politics and Space, 37(1), 177–196.</w:t>
      </w:r>
      <w:hyperlink r:id="rId7">
        <w:r>
          <w:rPr>
            <w:color w:val="1155CC"/>
            <w:sz w:val="20"/>
            <w:szCs w:val="20"/>
            <w:u w:val="single"/>
          </w:rPr>
          <w:t xml:space="preserve"> https://doi.org/10.1177/2399654418778590</w:t>
        </w:r>
      </w:hyperlink>
    </w:p>
    <w:p w14:paraId="4A46204C" w14:textId="77777777" w:rsidR="00B43890" w:rsidRDefault="00B43890">
      <w:pPr>
        <w:rPr>
          <w:sz w:val="20"/>
          <w:szCs w:val="20"/>
        </w:rPr>
      </w:pPr>
    </w:p>
    <w:p w14:paraId="7F51E397" w14:textId="77777777" w:rsidR="00B43890" w:rsidRDefault="00000000">
      <w:pPr>
        <w:rPr>
          <w:sz w:val="20"/>
          <w:szCs w:val="20"/>
        </w:rPr>
      </w:pPr>
      <w:r>
        <w:rPr>
          <w:sz w:val="20"/>
          <w:szCs w:val="20"/>
        </w:rPr>
        <w:t>Cai, L., Luo, J., Wang, M., Guo, J., Duan, J., Li, J., ... &amp; Ren, D. (2023). Pathways for municipalities to achieve carbon emission peak and carbon neutrality: A study based on the LEAP model. Energy, 262, 125435.</w:t>
      </w:r>
    </w:p>
    <w:p w14:paraId="03950BD9" w14:textId="77777777" w:rsidR="00B43890" w:rsidRDefault="00B43890">
      <w:pPr>
        <w:rPr>
          <w:sz w:val="20"/>
          <w:szCs w:val="20"/>
        </w:rPr>
      </w:pPr>
    </w:p>
    <w:p w14:paraId="07F43E34" w14:textId="77777777" w:rsidR="00B43890" w:rsidRDefault="00000000">
      <w:pPr>
        <w:rPr>
          <w:sz w:val="20"/>
          <w:szCs w:val="20"/>
        </w:rPr>
      </w:pPr>
      <w:r>
        <w:rPr>
          <w:sz w:val="20"/>
          <w:szCs w:val="20"/>
        </w:rPr>
        <w:t xml:space="preserve">De Freitas, B. M. R. (2020). Quantifying the effect of regulated volumetric electricity tariffs on residential PV adoption under net metering scheme [Working paper hal-02976874]. CATT, Université de Pau et des Pays de </w:t>
      </w:r>
      <w:proofErr w:type="spellStart"/>
      <w:r>
        <w:rPr>
          <w:sz w:val="20"/>
          <w:szCs w:val="20"/>
        </w:rPr>
        <w:t>l’Adour</w:t>
      </w:r>
      <w:proofErr w:type="spellEnd"/>
      <w:r>
        <w:rPr>
          <w:sz w:val="20"/>
          <w:szCs w:val="20"/>
        </w:rPr>
        <w:t>.</w:t>
      </w:r>
      <w:hyperlink r:id="rId8">
        <w:r>
          <w:rPr>
            <w:color w:val="1155CC"/>
            <w:sz w:val="20"/>
            <w:szCs w:val="20"/>
            <w:u w:val="single"/>
          </w:rPr>
          <w:t xml:space="preserve"> https://univ-pau.hal.science/hal-02976874v1/document</w:t>
        </w:r>
      </w:hyperlink>
    </w:p>
    <w:p w14:paraId="40031779" w14:textId="77777777" w:rsidR="00B43890" w:rsidRDefault="00B43890">
      <w:pPr>
        <w:rPr>
          <w:sz w:val="20"/>
          <w:szCs w:val="20"/>
        </w:rPr>
      </w:pPr>
    </w:p>
    <w:p w14:paraId="51A85AD7" w14:textId="77777777" w:rsidR="00B43890" w:rsidRDefault="00000000">
      <w:pPr>
        <w:rPr>
          <w:sz w:val="20"/>
          <w:szCs w:val="20"/>
        </w:rPr>
      </w:pPr>
      <w:r>
        <w:rPr>
          <w:sz w:val="20"/>
          <w:szCs w:val="20"/>
        </w:rPr>
        <w:t>Dong, C., Zhou, R., &amp; Li, J. (2021). Rushing for subsidies: The impact of feed-in tariffs on solar photovoltaic capacity development in China. Applied Energy, 281, 116007.</w:t>
      </w:r>
      <w:hyperlink r:id="rId9">
        <w:r>
          <w:rPr>
            <w:color w:val="1155CC"/>
            <w:sz w:val="20"/>
            <w:szCs w:val="20"/>
            <w:u w:val="single"/>
          </w:rPr>
          <w:t xml:space="preserve"> https://doi.org/10.1016/j.apenergy.2020.116007</w:t>
        </w:r>
      </w:hyperlink>
    </w:p>
    <w:p w14:paraId="42B1DACC" w14:textId="77777777" w:rsidR="00B43890" w:rsidRDefault="00B43890">
      <w:pPr>
        <w:rPr>
          <w:sz w:val="20"/>
          <w:szCs w:val="20"/>
        </w:rPr>
      </w:pPr>
    </w:p>
    <w:p w14:paraId="3C23A524" w14:textId="77777777" w:rsidR="00B43890" w:rsidRDefault="00000000">
      <w:pPr>
        <w:rPr>
          <w:sz w:val="20"/>
          <w:szCs w:val="20"/>
        </w:rPr>
      </w:pPr>
      <w:proofErr w:type="spellStart"/>
      <w:r>
        <w:rPr>
          <w:sz w:val="20"/>
          <w:szCs w:val="20"/>
        </w:rPr>
        <w:t>Emodi</w:t>
      </w:r>
      <w:proofErr w:type="spellEnd"/>
      <w:r>
        <w:rPr>
          <w:sz w:val="20"/>
          <w:szCs w:val="20"/>
        </w:rPr>
        <w:t xml:space="preserve">, N. V., </w:t>
      </w:r>
      <w:proofErr w:type="spellStart"/>
      <w:r>
        <w:rPr>
          <w:sz w:val="20"/>
          <w:szCs w:val="20"/>
        </w:rPr>
        <w:t>Emodi</w:t>
      </w:r>
      <w:proofErr w:type="spellEnd"/>
      <w:r>
        <w:rPr>
          <w:sz w:val="20"/>
          <w:szCs w:val="20"/>
        </w:rPr>
        <w:t xml:space="preserve">, C. C., Murthy, G. P., &amp; </w:t>
      </w:r>
      <w:proofErr w:type="spellStart"/>
      <w:r>
        <w:rPr>
          <w:sz w:val="20"/>
          <w:szCs w:val="20"/>
        </w:rPr>
        <w:t>Emodi</w:t>
      </w:r>
      <w:proofErr w:type="spellEnd"/>
      <w:r>
        <w:rPr>
          <w:sz w:val="20"/>
          <w:szCs w:val="20"/>
        </w:rPr>
        <w:t>, A. S. A. (2017). Energy policy for low carbon development in Nigeria: A LEAP model application. Renewable and Sustainable Energy Reviews, 68, 247–261.</w:t>
      </w:r>
    </w:p>
    <w:p w14:paraId="3E833889" w14:textId="77777777" w:rsidR="00B43890" w:rsidRDefault="00B43890">
      <w:pPr>
        <w:rPr>
          <w:sz w:val="20"/>
          <w:szCs w:val="20"/>
        </w:rPr>
      </w:pPr>
    </w:p>
    <w:p w14:paraId="4B1CAD2C" w14:textId="77777777" w:rsidR="00B43890" w:rsidRDefault="00000000">
      <w:pPr>
        <w:rPr>
          <w:sz w:val="20"/>
          <w:szCs w:val="20"/>
        </w:rPr>
      </w:pPr>
      <w:r>
        <w:rPr>
          <w:sz w:val="20"/>
          <w:szCs w:val="20"/>
        </w:rPr>
        <w:t>Eskom. (n.d.). Load shedding schedule interpretation.</w:t>
      </w:r>
      <w:hyperlink r:id="rId10">
        <w:r>
          <w:rPr>
            <w:sz w:val="20"/>
            <w:szCs w:val="20"/>
          </w:rPr>
          <w:t xml:space="preserve"> </w:t>
        </w:r>
      </w:hyperlink>
      <w:hyperlink r:id="rId11">
        <w:r>
          <w:rPr>
            <w:color w:val="1155CC"/>
            <w:sz w:val="20"/>
            <w:szCs w:val="20"/>
            <w:u w:val="single"/>
          </w:rPr>
          <w:t>https://loadshedding.eskom.co.za/LoadShedding/ScheduleInterpretation</w:t>
        </w:r>
      </w:hyperlink>
    </w:p>
    <w:p w14:paraId="262C3CD0" w14:textId="77777777" w:rsidR="00B43890" w:rsidRDefault="00B43890">
      <w:pPr>
        <w:rPr>
          <w:sz w:val="20"/>
          <w:szCs w:val="20"/>
        </w:rPr>
      </w:pPr>
    </w:p>
    <w:p w14:paraId="0A25CA83" w14:textId="77777777" w:rsidR="00B43890" w:rsidRDefault="00000000">
      <w:pPr>
        <w:rPr>
          <w:sz w:val="20"/>
          <w:szCs w:val="20"/>
        </w:rPr>
      </w:pPr>
      <w:r>
        <w:rPr>
          <w:sz w:val="20"/>
          <w:szCs w:val="20"/>
        </w:rPr>
        <w:t>Finkle, A., Evans, H., Shah, U, Mutua, B (2025). Spring 2025 Final Report.</w:t>
      </w:r>
    </w:p>
    <w:p w14:paraId="66D6B9FC" w14:textId="77777777" w:rsidR="00B43890" w:rsidRDefault="00B43890">
      <w:pPr>
        <w:rPr>
          <w:sz w:val="20"/>
          <w:szCs w:val="20"/>
        </w:rPr>
      </w:pPr>
    </w:p>
    <w:p w14:paraId="56A9F3CE" w14:textId="77777777" w:rsidR="00B43890" w:rsidRDefault="00000000">
      <w:pPr>
        <w:rPr>
          <w:sz w:val="20"/>
          <w:szCs w:val="20"/>
        </w:rPr>
      </w:pPr>
      <w:r>
        <w:rPr>
          <w:sz w:val="20"/>
          <w:szCs w:val="20"/>
        </w:rPr>
        <w:t>Hong, S., Chung, Y., Kim, J., &amp; Chun, D. (2016). Analysis on the level of contribution to the national greenhouse gas reduction target in Korean transportation sector using LEAP model. Renewable and Sustainable Energy Reviews, 60, 549–559.</w:t>
      </w:r>
    </w:p>
    <w:p w14:paraId="50FAF7F5" w14:textId="77777777" w:rsidR="00B43890" w:rsidRDefault="00B43890">
      <w:pPr>
        <w:rPr>
          <w:sz w:val="20"/>
          <w:szCs w:val="20"/>
        </w:rPr>
      </w:pPr>
    </w:p>
    <w:p w14:paraId="47074ED7" w14:textId="77777777" w:rsidR="00B43890" w:rsidRDefault="00000000">
      <w:pPr>
        <w:rPr>
          <w:sz w:val="20"/>
          <w:szCs w:val="20"/>
        </w:rPr>
      </w:pPr>
      <w:proofErr w:type="spellStart"/>
      <w:r>
        <w:rPr>
          <w:sz w:val="20"/>
          <w:szCs w:val="20"/>
        </w:rPr>
        <w:t>Ihugba</w:t>
      </w:r>
      <w:proofErr w:type="spellEnd"/>
      <w:r>
        <w:rPr>
          <w:sz w:val="20"/>
          <w:szCs w:val="20"/>
        </w:rPr>
        <w:t>, O. (2025, September 18). Tax Incentives and Renewable Energy Development in Nigeria: Evaluating Effectiveness and Policy Gaps. African Development Finance Journal.</w:t>
      </w:r>
      <w:hyperlink r:id="rId12">
        <w:r>
          <w:rPr>
            <w:color w:val="1155CC"/>
            <w:sz w:val="20"/>
            <w:szCs w:val="20"/>
            <w:u w:val="single"/>
          </w:rPr>
          <w:t>https://uonjournals.uonbi.ac.ke/ojs/index.php/adfj/article/view/3042</w:t>
        </w:r>
      </w:hyperlink>
    </w:p>
    <w:p w14:paraId="7E6869F7" w14:textId="77777777" w:rsidR="00B43890" w:rsidRDefault="00B43890">
      <w:pPr>
        <w:rPr>
          <w:sz w:val="20"/>
          <w:szCs w:val="20"/>
        </w:rPr>
      </w:pPr>
    </w:p>
    <w:p w14:paraId="06B61D19" w14:textId="77777777" w:rsidR="00B43890" w:rsidRDefault="00000000">
      <w:pPr>
        <w:rPr>
          <w:sz w:val="20"/>
          <w:szCs w:val="20"/>
        </w:rPr>
      </w:pPr>
      <w:r>
        <w:rPr>
          <w:sz w:val="20"/>
          <w:szCs w:val="20"/>
        </w:rPr>
        <w:t>International Energy Agency. (n.d.). South Africa - Countries &amp; Regions. International Energy Agency. Retrieved December 4, 2025, from</w:t>
      </w:r>
      <w:hyperlink r:id="rId13">
        <w:r>
          <w:rPr>
            <w:color w:val="1155CC"/>
            <w:sz w:val="20"/>
            <w:szCs w:val="20"/>
            <w:u w:val="single"/>
          </w:rPr>
          <w:t xml:space="preserve"> https://www.iea.org/countries/south-africa/emissions</w:t>
        </w:r>
      </w:hyperlink>
    </w:p>
    <w:p w14:paraId="1386FF02" w14:textId="77777777" w:rsidR="00B43890" w:rsidRDefault="00B43890">
      <w:pPr>
        <w:rPr>
          <w:sz w:val="20"/>
          <w:szCs w:val="20"/>
        </w:rPr>
      </w:pPr>
    </w:p>
    <w:p w14:paraId="3CF1A8AC" w14:textId="77777777" w:rsidR="00B43890" w:rsidRDefault="00000000">
      <w:pPr>
        <w:rPr>
          <w:sz w:val="20"/>
          <w:szCs w:val="20"/>
        </w:rPr>
      </w:pPr>
      <w:r>
        <w:rPr>
          <w:sz w:val="20"/>
          <w:szCs w:val="20"/>
        </w:rPr>
        <w:t>International Trade Administration. (2024, January 26). South Africa - Energy. International Trade Administration. Retrieved December 4, 2025, from</w:t>
      </w:r>
      <w:hyperlink r:id="rId14">
        <w:r>
          <w:rPr>
            <w:color w:val="1155CC"/>
            <w:sz w:val="20"/>
            <w:szCs w:val="20"/>
            <w:u w:val="single"/>
          </w:rPr>
          <w:t xml:space="preserve"> https://www.trade.gov/country-commercial-guides/south-africa-energy</w:t>
        </w:r>
      </w:hyperlink>
    </w:p>
    <w:p w14:paraId="1DE0AA20" w14:textId="77777777" w:rsidR="00B43890" w:rsidRDefault="00B43890">
      <w:pPr>
        <w:rPr>
          <w:sz w:val="20"/>
          <w:szCs w:val="20"/>
        </w:rPr>
      </w:pPr>
    </w:p>
    <w:p w14:paraId="4EEB46B8" w14:textId="77777777" w:rsidR="00B43890" w:rsidRDefault="00000000">
      <w:pPr>
        <w:rPr>
          <w:sz w:val="20"/>
          <w:szCs w:val="20"/>
        </w:rPr>
      </w:pPr>
      <w:proofErr w:type="spellStart"/>
      <w:r>
        <w:rPr>
          <w:sz w:val="20"/>
          <w:szCs w:val="20"/>
        </w:rPr>
        <w:t>Kemausuor</w:t>
      </w:r>
      <w:proofErr w:type="spellEnd"/>
      <w:r>
        <w:rPr>
          <w:sz w:val="20"/>
          <w:szCs w:val="20"/>
        </w:rPr>
        <w:t xml:space="preserve">, F., </w:t>
      </w:r>
      <w:proofErr w:type="spellStart"/>
      <w:r>
        <w:rPr>
          <w:sz w:val="20"/>
          <w:szCs w:val="20"/>
        </w:rPr>
        <w:t>Sedzro</w:t>
      </w:r>
      <w:proofErr w:type="spellEnd"/>
      <w:r>
        <w:rPr>
          <w:sz w:val="20"/>
          <w:szCs w:val="20"/>
        </w:rPr>
        <w:t xml:space="preserve">, M. D., &amp; Osei, I. (2018). </w:t>
      </w:r>
      <w:proofErr w:type="spellStart"/>
      <w:r>
        <w:rPr>
          <w:sz w:val="20"/>
          <w:szCs w:val="20"/>
        </w:rPr>
        <w:t>Decentralised</w:t>
      </w:r>
      <w:proofErr w:type="spellEnd"/>
      <w:r>
        <w:rPr>
          <w:sz w:val="20"/>
          <w:szCs w:val="20"/>
        </w:rPr>
        <w:t xml:space="preserve"> energy systems in Africa: coordination and integration of off-grid and grid power systems—review of planning tools to identify renewable energy </w:t>
      </w:r>
      <w:r>
        <w:rPr>
          <w:sz w:val="20"/>
          <w:szCs w:val="20"/>
        </w:rPr>
        <w:lastRenderedPageBreak/>
        <w:t>deployment options for rural electrification in Africa. Current Sustainable/Renewable Energy Reports, 5(4), 214–223.</w:t>
      </w:r>
    </w:p>
    <w:p w14:paraId="3304EA6B" w14:textId="77777777" w:rsidR="00B43890" w:rsidRDefault="00000000">
      <w:pPr>
        <w:rPr>
          <w:sz w:val="20"/>
          <w:szCs w:val="20"/>
        </w:rPr>
      </w:pPr>
      <w:r>
        <w:rPr>
          <w:sz w:val="20"/>
          <w:szCs w:val="20"/>
        </w:rPr>
        <w:t>Kgomo, N. (2022). Incorporation of solar produced power to household electricity as a strategy to eradicate load-</w:t>
      </w:r>
      <w:proofErr w:type="spellStart"/>
      <w:proofErr w:type="gramStart"/>
      <w:r>
        <w:rPr>
          <w:sz w:val="20"/>
          <w:szCs w:val="20"/>
        </w:rPr>
        <w:t>shedding.University</w:t>
      </w:r>
      <w:proofErr w:type="spellEnd"/>
      <w:proofErr w:type="gramEnd"/>
      <w:r>
        <w:rPr>
          <w:sz w:val="20"/>
          <w:szCs w:val="20"/>
        </w:rPr>
        <w:t xml:space="preserve"> of Johannesburg (South Africa).</w:t>
      </w:r>
    </w:p>
    <w:p w14:paraId="5EA1E216" w14:textId="77777777" w:rsidR="00B43890" w:rsidRDefault="00B43890">
      <w:pPr>
        <w:rPr>
          <w:sz w:val="20"/>
          <w:szCs w:val="20"/>
        </w:rPr>
      </w:pPr>
    </w:p>
    <w:p w14:paraId="036B5052" w14:textId="77777777" w:rsidR="00B43890" w:rsidRDefault="00000000">
      <w:pPr>
        <w:rPr>
          <w:sz w:val="20"/>
          <w:szCs w:val="20"/>
        </w:rPr>
      </w:pPr>
      <w:proofErr w:type="spellStart"/>
      <w:r>
        <w:rPr>
          <w:sz w:val="20"/>
          <w:szCs w:val="20"/>
        </w:rPr>
        <w:t>Kılıç</w:t>
      </w:r>
      <w:proofErr w:type="spellEnd"/>
      <w:r>
        <w:rPr>
          <w:sz w:val="20"/>
          <w:szCs w:val="20"/>
        </w:rPr>
        <w:t xml:space="preserve">, U., &amp; </w:t>
      </w:r>
      <w:proofErr w:type="spellStart"/>
      <w:r>
        <w:rPr>
          <w:sz w:val="20"/>
          <w:szCs w:val="20"/>
        </w:rPr>
        <w:t>Kekezoğlu</w:t>
      </w:r>
      <w:proofErr w:type="spellEnd"/>
      <w:r>
        <w:rPr>
          <w:sz w:val="20"/>
          <w:szCs w:val="20"/>
        </w:rPr>
        <w:t>, B. (2022). A review of solar photovoltaic incentives and policy: Selected countries and Turkey. Ain Shams Engineering Journal, 13(5), 101669.</w:t>
      </w:r>
      <w:hyperlink r:id="rId15">
        <w:r>
          <w:rPr>
            <w:color w:val="1155CC"/>
            <w:sz w:val="20"/>
            <w:szCs w:val="20"/>
            <w:u w:val="single"/>
          </w:rPr>
          <w:t xml:space="preserve"> https://doi.org/10.1016/j.asej.2021.101669</w:t>
        </w:r>
      </w:hyperlink>
    </w:p>
    <w:p w14:paraId="46F50399" w14:textId="77777777" w:rsidR="00B43890" w:rsidRDefault="00B43890">
      <w:pPr>
        <w:rPr>
          <w:sz w:val="20"/>
          <w:szCs w:val="20"/>
        </w:rPr>
      </w:pPr>
    </w:p>
    <w:p w14:paraId="4097EC0F" w14:textId="77777777" w:rsidR="00B43890" w:rsidRDefault="00000000">
      <w:pPr>
        <w:rPr>
          <w:sz w:val="20"/>
          <w:szCs w:val="20"/>
        </w:rPr>
      </w:pPr>
      <w:r>
        <w:rPr>
          <w:sz w:val="20"/>
          <w:szCs w:val="20"/>
        </w:rPr>
        <w:t>Libera, M. (2025, February 27). Big payday for Cape Town homeowners with rooftop solar.</w:t>
      </w:r>
      <w:hyperlink r:id="rId16">
        <w:r>
          <w:rPr>
            <w:color w:val="1155CC"/>
            <w:sz w:val="20"/>
            <w:szCs w:val="20"/>
            <w:u w:val="single"/>
          </w:rPr>
          <w:t xml:space="preserve"> https://businesstech.co.za/news/energy/814392/big-payday-for-cape-town-homeowners-with-rooftop-solar/</w:t>
        </w:r>
      </w:hyperlink>
    </w:p>
    <w:p w14:paraId="1F47CF5F" w14:textId="77777777" w:rsidR="00B43890" w:rsidRDefault="00B43890">
      <w:pPr>
        <w:rPr>
          <w:sz w:val="20"/>
          <w:szCs w:val="20"/>
        </w:rPr>
      </w:pPr>
    </w:p>
    <w:p w14:paraId="20EB33C6" w14:textId="77777777" w:rsidR="00B43890" w:rsidRDefault="00000000">
      <w:pPr>
        <w:rPr>
          <w:sz w:val="20"/>
          <w:szCs w:val="20"/>
        </w:rPr>
      </w:pPr>
      <w:r>
        <w:rPr>
          <w:sz w:val="20"/>
          <w:szCs w:val="20"/>
        </w:rPr>
        <w:t>Michael-</w:t>
      </w:r>
      <w:proofErr w:type="spellStart"/>
      <w:r>
        <w:rPr>
          <w:sz w:val="20"/>
          <w:szCs w:val="20"/>
        </w:rPr>
        <w:t>Ahile</w:t>
      </w:r>
      <w:proofErr w:type="spellEnd"/>
      <w:r>
        <w:rPr>
          <w:sz w:val="20"/>
          <w:szCs w:val="20"/>
        </w:rPr>
        <w:t xml:space="preserve">, T., Samuels, J. A., &amp; </w:t>
      </w:r>
      <w:proofErr w:type="spellStart"/>
      <w:r>
        <w:rPr>
          <w:sz w:val="20"/>
          <w:szCs w:val="20"/>
        </w:rPr>
        <w:t>Booysen</w:t>
      </w:r>
      <w:proofErr w:type="spellEnd"/>
      <w:r>
        <w:rPr>
          <w:sz w:val="20"/>
          <w:szCs w:val="20"/>
        </w:rPr>
        <w:t>, M. J. (2025). Optimizing battery energy storage and solar photovoltaic systems for lower-to-middle-income schools amidst load-shedding. Energy for Sustainable Development, 85, 101675.</w:t>
      </w:r>
    </w:p>
    <w:p w14:paraId="7A2DF89C" w14:textId="77777777" w:rsidR="00B43890" w:rsidRDefault="00B43890">
      <w:pPr>
        <w:rPr>
          <w:sz w:val="20"/>
          <w:szCs w:val="20"/>
        </w:rPr>
      </w:pPr>
    </w:p>
    <w:p w14:paraId="50A77607" w14:textId="77777777" w:rsidR="00B43890" w:rsidRDefault="00000000">
      <w:pPr>
        <w:rPr>
          <w:sz w:val="20"/>
          <w:szCs w:val="20"/>
        </w:rPr>
      </w:pPr>
      <w:r>
        <w:rPr>
          <w:sz w:val="20"/>
          <w:szCs w:val="20"/>
        </w:rPr>
        <w:t xml:space="preserve">Mulenga, S., &amp; </w:t>
      </w:r>
      <w:proofErr w:type="spellStart"/>
      <w:r>
        <w:rPr>
          <w:sz w:val="20"/>
          <w:szCs w:val="20"/>
        </w:rPr>
        <w:t>Ziaei</w:t>
      </w:r>
      <w:proofErr w:type="spellEnd"/>
      <w:r>
        <w:rPr>
          <w:sz w:val="20"/>
          <w:szCs w:val="20"/>
        </w:rPr>
        <w:t>, S. M. (2025, May 20). Impact of financial and non-financial incentives on solar investment outcomes in Zambia: A quantitative assessment.</w:t>
      </w:r>
      <w:hyperlink r:id="rId17">
        <w:r>
          <w:rPr>
            <w:color w:val="1155CC"/>
            <w:sz w:val="20"/>
            <w:szCs w:val="20"/>
            <w:u w:val="single"/>
          </w:rPr>
          <w:t xml:space="preserve"> https://papers.ssrn.com/sol3/papers.cfm?abstract_id=5262055</w:t>
        </w:r>
      </w:hyperlink>
    </w:p>
    <w:p w14:paraId="4367C009" w14:textId="77777777" w:rsidR="00B43890" w:rsidRDefault="00B43890">
      <w:pPr>
        <w:rPr>
          <w:sz w:val="20"/>
          <w:szCs w:val="20"/>
        </w:rPr>
      </w:pPr>
    </w:p>
    <w:p w14:paraId="7E3EFCC5" w14:textId="77777777" w:rsidR="00B43890" w:rsidRDefault="00000000">
      <w:pPr>
        <w:rPr>
          <w:sz w:val="20"/>
          <w:szCs w:val="20"/>
        </w:rPr>
      </w:pPr>
      <w:r>
        <w:rPr>
          <w:sz w:val="20"/>
          <w:szCs w:val="20"/>
        </w:rPr>
        <w:t>O’Shaughnessy, E. (2022). Rooftop solar incentives remain effective for low- and moderate-income adoption. Energy Policy, 163, 112881.</w:t>
      </w:r>
      <w:hyperlink r:id="rId18">
        <w:r>
          <w:rPr>
            <w:color w:val="1155CC"/>
            <w:sz w:val="20"/>
            <w:szCs w:val="20"/>
            <w:u w:val="single"/>
          </w:rPr>
          <w:t xml:space="preserve"> https://doi.org/10.1016/j.enpol.2022.112881</w:t>
        </w:r>
      </w:hyperlink>
    </w:p>
    <w:p w14:paraId="51741A29" w14:textId="77777777" w:rsidR="00B43890" w:rsidRDefault="00B43890">
      <w:pPr>
        <w:rPr>
          <w:sz w:val="20"/>
          <w:szCs w:val="20"/>
        </w:rPr>
      </w:pPr>
    </w:p>
    <w:p w14:paraId="6E1C75D4" w14:textId="77777777" w:rsidR="00B43890" w:rsidRDefault="00000000">
      <w:pPr>
        <w:rPr>
          <w:sz w:val="20"/>
          <w:szCs w:val="20"/>
        </w:rPr>
      </w:pPr>
      <w:r>
        <w:rPr>
          <w:sz w:val="20"/>
          <w:szCs w:val="20"/>
        </w:rPr>
        <w:t>Presidential Climate Commission. (2022). South Africa’s Just Energy Transition Investment Plan (JET IP). Retrieved December 4</w:t>
      </w:r>
      <w:proofErr w:type="gramStart"/>
      <w:r>
        <w:rPr>
          <w:sz w:val="20"/>
          <w:szCs w:val="20"/>
        </w:rPr>
        <w:t xml:space="preserve"> 2024</w:t>
      </w:r>
      <w:proofErr w:type="gramEnd"/>
      <w:r>
        <w:rPr>
          <w:sz w:val="20"/>
          <w:szCs w:val="20"/>
        </w:rPr>
        <w:t xml:space="preserve"> from </w:t>
      </w:r>
      <w:hyperlink r:id="rId19">
        <w:r>
          <w:rPr>
            <w:color w:val="1155CC"/>
            <w:sz w:val="20"/>
            <w:szCs w:val="20"/>
            <w:u w:val="single"/>
          </w:rPr>
          <w:t>https://justenergytransition.co.za/</w:t>
        </w:r>
      </w:hyperlink>
      <w:r>
        <w:rPr>
          <w:sz w:val="20"/>
          <w:szCs w:val="20"/>
        </w:rPr>
        <w:t>.</w:t>
      </w:r>
    </w:p>
    <w:p w14:paraId="54E1252C" w14:textId="77777777" w:rsidR="00B43890" w:rsidRDefault="00B43890">
      <w:pPr>
        <w:rPr>
          <w:sz w:val="20"/>
          <w:szCs w:val="20"/>
        </w:rPr>
      </w:pPr>
    </w:p>
    <w:p w14:paraId="5C5BFD0C" w14:textId="77777777" w:rsidR="00B43890" w:rsidRDefault="00000000">
      <w:pPr>
        <w:rPr>
          <w:sz w:val="20"/>
          <w:szCs w:val="20"/>
        </w:rPr>
      </w:pPr>
      <w:r>
        <w:rPr>
          <w:sz w:val="20"/>
          <w:szCs w:val="20"/>
        </w:rPr>
        <w:t>‌South Africa solar incentives: Impressive 2024 Investment - PVNH. (2025, October 7). PVKnowhow.</w:t>
      </w:r>
      <w:hyperlink r:id="rId20">
        <w:r>
          <w:rPr>
            <w:color w:val="1155CC"/>
            <w:sz w:val="20"/>
            <w:szCs w:val="20"/>
            <w:u w:val="single"/>
          </w:rPr>
          <w:t>https://www.pvknowhow.com/news/south-africa-solar-incentives-impressive-2024-investment/</w:t>
        </w:r>
      </w:hyperlink>
    </w:p>
    <w:p w14:paraId="50079D0F" w14:textId="77777777" w:rsidR="00B43890" w:rsidRDefault="00B43890">
      <w:pPr>
        <w:rPr>
          <w:sz w:val="20"/>
          <w:szCs w:val="20"/>
        </w:rPr>
      </w:pPr>
    </w:p>
    <w:p w14:paraId="4F213146" w14:textId="77777777" w:rsidR="00B43890" w:rsidRDefault="00000000">
      <w:pPr>
        <w:rPr>
          <w:sz w:val="20"/>
          <w:szCs w:val="20"/>
        </w:rPr>
      </w:pPr>
      <w:r>
        <w:rPr>
          <w:sz w:val="20"/>
          <w:szCs w:val="20"/>
        </w:rPr>
        <w:t>Stanford University. (2025, June). Energy, the environment, and justice. Understand Energy Learning Hub. Retrieved December 4, 2025, from</w:t>
      </w:r>
      <w:hyperlink r:id="rId21">
        <w:r>
          <w:rPr>
            <w:color w:val="1155CC"/>
            <w:sz w:val="20"/>
            <w:szCs w:val="20"/>
            <w:u w:val="single"/>
          </w:rPr>
          <w:t xml:space="preserve"> https://understand-energy.stanford.edu/why-we-care/environment</w:t>
        </w:r>
      </w:hyperlink>
    </w:p>
    <w:p w14:paraId="476C28B0" w14:textId="77777777" w:rsidR="00B43890" w:rsidRDefault="00B43890">
      <w:pPr>
        <w:rPr>
          <w:sz w:val="20"/>
          <w:szCs w:val="20"/>
        </w:rPr>
      </w:pPr>
    </w:p>
    <w:p w14:paraId="1B61D51C" w14:textId="77777777" w:rsidR="00B43890" w:rsidRDefault="00000000">
      <w:pPr>
        <w:rPr>
          <w:sz w:val="20"/>
          <w:szCs w:val="20"/>
        </w:rPr>
      </w:pPr>
      <w:r>
        <w:rPr>
          <w:sz w:val="20"/>
          <w:szCs w:val="20"/>
        </w:rPr>
        <w:t>Sun, B., &amp; Sankar, A. (2022). The changing effectiveness of financial incentives: Theory and evidence from residential solar rebate programs in California. Energy Policy, 162, 112804.</w:t>
      </w:r>
      <w:hyperlink r:id="rId22">
        <w:r>
          <w:rPr>
            <w:color w:val="1155CC"/>
            <w:sz w:val="20"/>
            <w:szCs w:val="20"/>
            <w:u w:val="single"/>
          </w:rPr>
          <w:t xml:space="preserve"> https://doi.org/10.1016/j.enpol.2022.112804</w:t>
        </w:r>
      </w:hyperlink>
    </w:p>
    <w:p w14:paraId="13395F9A" w14:textId="77777777" w:rsidR="00B43890" w:rsidRDefault="00B43890">
      <w:pPr>
        <w:rPr>
          <w:sz w:val="20"/>
          <w:szCs w:val="20"/>
        </w:rPr>
      </w:pPr>
    </w:p>
    <w:p w14:paraId="1B1554EA" w14:textId="77777777" w:rsidR="00B43890" w:rsidRDefault="00000000">
      <w:pPr>
        <w:rPr>
          <w:sz w:val="20"/>
          <w:szCs w:val="20"/>
        </w:rPr>
      </w:pPr>
      <w:proofErr w:type="spellStart"/>
      <w:r>
        <w:rPr>
          <w:sz w:val="20"/>
          <w:szCs w:val="20"/>
        </w:rPr>
        <w:t>Taviv</w:t>
      </w:r>
      <w:proofErr w:type="spellEnd"/>
      <w:r>
        <w:rPr>
          <w:sz w:val="20"/>
          <w:szCs w:val="20"/>
        </w:rPr>
        <w:t xml:space="preserve">, R., </w:t>
      </w:r>
      <w:proofErr w:type="spellStart"/>
      <w:r>
        <w:rPr>
          <w:sz w:val="20"/>
          <w:szCs w:val="20"/>
        </w:rPr>
        <w:t>Trikam</w:t>
      </w:r>
      <w:proofErr w:type="spellEnd"/>
      <w:r>
        <w:rPr>
          <w:sz w:val="20"/>
          <w:szCs w:val="20"/>
        </w:rPr>
        <w:t xml:space="preserve">, A., Lane, T., </w:t>
      </w:r>
      <w:proofErr w:type="spellStart"/>
      <w:r>
        <w:rPr>
          <w:sz w:val="20"/>
          <w:szCs w:val="20"/>
        </w:rPr>
        <w:t>O’Kennedy</w:t>
      </w:r>
      <w:proofErr w:type="spellEnd"/>
      <w:r>
        <w:rPr>
          <w:sz w:val="20"/>
          <w:szCs w:val="20"/>
        </w:rPr>
        <w:t xml:space="preserve">, K., </w:t>
      </w:r>
      <w:proofErr w:type="spellStart"/>
      <w:r>
        <w:rPr>
          <w:sz w:val="20"/>
          <w:szCs w:val="20"/>
        </w:rPr>
        <w:t>Mapako</w:t>
      </w:r>
      <w:proofErr w:type="spellEnd"/>
      <w:r>
        <w:rPr>
          <w:sz w:val="20"/>
          <w:szCs w:val="20"/>
        </w:rPr>
        <w:t>, M., &amp; Brent, A. C. (2008). Population of the LEAP system to model energy futures in South Africa. Report prepared for the South African National Energy Research Institute project EPP, 0607–074.</w:t>
      </w:r>
    </w:p>
    <w:p w14:paraId="1C6750CE" w14:textId="77777777" w:rsidR="00B43890" w:rsidRDefault="00B43890">
      <w:pPr>
        <w:rPr>
          <w:sz w:val="20"/>
          <w:szCs w:val="20"/>
        </w:rPr>
      </w:pPr>
    </w:p>
    <w:p w14:paraId="4293A05D" w14:textId="77777777" w:rsidR="00B43890" w:rsidRDefault="00000000">
      <w:pPr>
        <w:rPr>
          <w:sz w:val="20"/>
          <w:szCs w:val="20"/>
        </w:rPr>
      </w:pPr>
      <w:r>
        <w:rPr>
          <w:color w:val="222222"/>
          <w:sz w:val="20"/>
          <w:szCs w:val="20"/>
          <w:highlight w:val="white"/>
        </w:rPr>
        <w:t>Twala, S., Ye, X., Xia, X., &amp; Zhang, L. (2023). Optimal integration of solar home systems and appliance scheduling for residential homes under severe national load shedding. Journal of Automation and Intelligence, 2(4), 227-238.</w:t>
      </w:r>
    </w:p>
    <w:p w14:paraId="347BEC19" w14:textId="77777777" w:rsidR="00B43890" w:rsidRDefault="00B43890">
      <w:pPr>
        <w:rPr>
          <w:sz w:val="20"/>
          <w:szCs w:val="20"/>
        </w:rPr>
      </w:pPr>
    </w:p>
    <w:p w14:paraId="111D4C88" w14:textId="77777777" w:rsidR="00B43890" w:rsidRDefault="00000000">
      <w:pPr>
        <w:rPr>
          <w:sz w:val="20"/>
          <w:szCs w:val="20"/>
        </w:rPr>
      </w:pPr>
      <w:r>
        <w:rPr>
          <w:sz w:val="20"/>
          <w:szCs w:val="20"/>
        </w:rPr>
        <w:t>Van Schalkwyk, L., &amp; Scholtz, M. (2024). Incentives and drivers for private embedded generation through solar photovoltaic systems in South Africa. Frontiers in Environmental Economics, 3.</w:t>
      </w:r>
      <w:hyperlink r:id="rId23">
        <w:r>
          <w:rPr>
            <w:color w:val="1155CC"/>
            <w:sz w:val="20"/>
            <w:szCs w:val="20"/>
            <w:u w:val="single"/>
          </w:rPr>
          <w:t>https://doi.org/10.3389/frevc.2024.1463241</w:t>
        </w:r>
      </w:hyperlink>
    </w:p>
    <w:p w14:paraId="2C0DC1E4" w14:textId="77777777" w:rsidR="00B43890" w:rsidRDefault="00B43890">
      <w:pPr>
        <w:rPr>
          <w:sz w:val="20"/>
          <w:szCs w:val="20"/>
        </w:rPr>
      </w:pPr>
    </w:p>
    <w:p w14:paraId="26D4226B" w14:textId="77777777" w:rsidR="00B43890" w:rsidRDefault="00000000">
      <w:pPr>
        <w:rPr>
          <w:sz w:val="20"/>
          <w:szCs w:val="20"/>
        </w:rPr>
      </w:pPr>
      <w:r>
        <w:rPr>
          <w:sz w:val="20"/>
          <w:szCs w:val="20"/>
        </w:rPr>
        <w:t xml:space="preserve">Venter, I. (2025, February 25). Capetonians reach R55M earnings mark in cash for power </w:t>
      </w:r>
      <w:proofErr w:type="spellStart"/>
      <w:r>
        <w:rPr>
          <w:sz w:val="20"/>
          <w:szCs w:val="20"/>
        </w:rPr>
        <w:t>programme</w:t>
      </w:r>
      <w:proofErr w:type="spellEnd"/>
      <w:r>
        <w:rPr>
          <w:sz w:val="20"/>
          <w:szCs w:val="20"/>
        </w:rPr>
        <w:t>. Engineering News.</w:t>
      </w:r>
      <w:hyperlink r:id="rId24">
        <w:r>
          <w:rPr>
            <w:color w:val="1155CC"/>
            <w:sz w:val="20"/>
            <w:szCs w:val="20"/>
            <w:u w:val="single"/>
          </w:rPr>
          <w:t>https://www.engineeringnews.co.za/article/capetonians-reach-r55m-earnings-mark-in-cash-for-power-programme-2025-02-25</w:t>
        </w:r>
      </w:hyperlink>
    </w:p>
    <w:p w14:paraId="33392D80" w14:textId="77777777" w:rsidR="00B43890" w:rsidRDefault="00B43890">
      <w:pPr>
        <w:rPr>
          <w:sz w:val="20"/>
          <w:szCs w:val="20"/>
        </w:rPr>
      </w:pPr>
    </w:p>
    <w:p w14:paraId="33935E0B" w14:textId="77777777" w:rsidR="00B43890" w:rsidRDefault="00000000">
      <w:pPr>
        <w:rPr>
          <w:sz w:val="20"/>
          <w:szCs w:val="20"/>
        </w:rPr>
      </w:pPr>
      <w:r>
        <w:rPr>
          <w:sz w:val="20"/>
          <w:szCs w:val="20"/>
        </w:rPr>
        <w:t xml:space="preserve">Walsh, K., Theron, R., &amp; </w:t>
      </w:r>
      <w:proofErr w:type="spellStart"/>
      <w:r>
        <w:rPr>
          <w:sz w:val="20"/>
          <w:szCs w:val="20"/>
        </w:rPr>
        <w:t>Reeders</w:t>
      </w:r>
      <w:proofErr w:type="spellEnd"/>
      <w:r>
        <w:rPr>
          <w:sz w:val="20"/>
          <w:szCs w:val="20"/>
        </w:rPr>
        <w:t>, C. (2021). Estimating the economic cost of load shedding in South Africa. [Paper submission to Biennial Conference of the Economic Society of South Africa].</w:t>
      </w:r>
    </w:p>
    <w:p w14:paraId="378B9DF8" w14:textId="77777777" w:rsidR="00B43890" w:rsidRDefault="00000000">
      <w:pPr>
        <w:rPr>
          <w:sz w:val="20"/>
          <w:szCs w:val="20"/>
        </w:rPr>
      </w:pPr>
      <w:r>
        <w:rPr>
          <w:sz w:val="20"/>
          <w:szCs w:val="20"/>
        </w:rPr>
        <w:t>Wang, S., Li, Y., &amp; Jia, J. (2022). How to promote sustainable adoption of residential distributed photovoltaic generation in China? An employment of incentive and punitive policies. Mitigation and Adaptation Strategies for Global Change, 27(2), 16.</w:t>
      </w:r>
    </w:p>
    <w:p w14:paraId="023801FF" w14:textId="77777777" w:rsidR="00B43890" w:rsidRDefault="00B43890">
      <w:pPr>
        <w:rPr>
          <w:sz w:val="20"/>
          <w:szCs w:val="20"/>
        </w:rPr>
      </w:pPr>
    </w:p>
    <w:p w14:paraId="39B15161" w14:textId="77777777" w:rsidR="00B43890" w:rsidRDefault="00000000">
      <w:pPr>
        <w:rPr>
          <w:sz w:val="20"/>
          <w:szCs w:val="20"/>
        </w:rPr>
      </w:pPr>
      <w:r>
        <w:rPr>
          <w:sz w:val="20"/>
          <w:szCs w:val="20"/>
        </w:rPr>
        <w:t>World Bank Group. (2025, June 23). Energy overview: Development news, research, data. World Bank. Retrieved December 4, 2025, from</w:t>
      </w:r>
      <w:hyperlink r:id="rId25">
        <w:r>
          <w:rPr>
            <w:color w:val="1155CC"/>
            <w:sz w:val="20"/>
            <w:szCs w:val="20"/>
            <w:u w:val="single"/>
          </w:rPr>
          <w:t xml:space="preserve"> https://www.worldbank.org/en/topic/energy/overview</w:t>
        </w:r>
      </w:hyperlink>
    </w:p>
    <w:p w14:paraId="628BC37D" w14:textId="77777777" w:rsidR="00B43890" w:rsidRDefault="00B43890">
      <w:pPr>
        <w:rPr>
          <w:sz w:val="20"/>
          <w:szCs w:val="20"/>
        </w:rPr>
      </w:pPr>
    </w:p>
    <w:p w14:paraId="26D78DAB" w14:textId="77777777" w:rsidR="00B43890" w:rsidRDefault="00000000">
      <w:pPr>
        <w:rPr>
          <w:sz w:val="20"/>
          <w:szCs w:val="20"/>
        </w:rPr>
      </w:pPr>
      <w:r>
        <w:rPr>
          <w:sz w:val="20"/>
          <w:szCs w:val="20"/>
        </w:rPr>
        <w:t xml:space="preserve">Yoder, B. (2025, November 19). Inequity in Resilience: Understanding Household Electricity Consumption During Load Shedding [PowerPoint Slides]. </w:t>
      </w:r>
      <w:proofErr w:type="spellStart"/>
      <w:r>
        <w:rPr>
          <w:sz w:val="20"/>
          <w:szCs w:val="20"/>
        </w:rPr>
        <w:t>BOX@Duke</w:t>
      </w:r>
      <w:proofErr w:type="spellEnd"/>
      <w:r>
        <w:rPr>
          <w:sz w:val="20"/>
          <w:szCs w:val="20"/>
        </w:rPr>
        <w:t xml:space="preserve">. </w:t>
      </w:r>
      <w:hyperlink r:id="rId26">
        <w:r>
          <w:rPr>
            <w:color w:val="1155CC"/>
            <w:sz w:val="20"/>
            <w:szCs w:val="20"/>
            <w:u w:val="single"/>
          </w:rPr>
          <w:t>https://duke.app.box.com/file/2053278239232?s=duxzuugghj22fe7uluvt2j816p8je6b1</w:t>
        </w:r>
      </w:hyperlink>
      <w:r>
        <w:rPr>
          <w:sz w:val="20"/>
          <w:szCs w:val="20"/>
        </w:rPr>
        <w:t xml:space="preserve"> </w:t>
      </w:r>
    </w:p>
    <w:p w14:paraId="3662AB3E" w14:textId="77777777" w:rsidR="00B43890" w:rsidRDefault="00B43890">
      <w:pPr>
        <w:rPr>
          <w:sz w:val="20"/>
          <w:szCs w:val="20"/>
        </w:rPr>
      </w:pPr>
    </w:p>
    <w:p w14:paraId="0250465D" w14:textId="77777777" w:rsidR="00B43890" w:rsidRDefault="00000000">
      <w:pPr>
        <w:rPr>
          <w:sz w:val="20"/>
          <w:szCs w:val="20"/>
        </w:rPr>
      </w:pPr>
      <w:r>
        <w:rPr>
          <w:sz w:val="20"/>
          <w:szCs w:val="20"/>
        </w:rPr>
        <w:t>Zander, K. K., Simpson, G., Mathew, S., Nepal, R., &amp; Garnett, S. T. (2019). Preferences for and potential impacts of financial incentives to install residential rooftop solar photovoltaic systems in Australia. Journal of Cleaner Production, 230, 328–338.</w:t>
      </w:r>
      <w:hyperlink r:id="rId27">
        <w:r>
          <w:rPr>
            <w:color w:val="1155CC"/>
            <w:sz w:val="20"/>
            <w:szCs w:val="20"/>
            <w:u w:val="single"/>
          </w:rPr>
          <w:t xml:space="preserve"> https://doi.org/10.1016/j.jclepro.2019.05.133</w:t>
        </w:r>
      </w:hyperlink>
    </w:p>
    <w:p w14:paraId="5CA81348" w14:textId="77777777" w:rsidR="00B43890" w:rsidRDefault="00B43890">
      <w:pPr>
        <w:rPr>
          <w:sz w:val="20"/>
          <w:szCs w:val="20"/>
        </w:rPr>
      </w:pPr>
    </w:p>
    <w:p w14:paraId="36F8A586" w14:textId="77777777" w:rsidR="00B43890" w:rsidRDefault="00000000">
      <w:pPr>
        <w:rPr>
          <w:sz w:val="20"/>
          <w:szCs w:val="20"/>
        </w:rPr>
      </w:pPr>
      <w:r>
        <w:rPr>
          <w:sz w:val="20"/>
          <w:szCs w:val="20"/>
        </w:rPr>
        <w:t xml:space="preserve">Zhong, S., </w:t>
      </w:r>
      <w:proofErr w:type="spellStart"/>
      <w:r>
        <w:rPr>
          <w:sz w:val="20"/>
          <w:szCs w:val="20"/>
        </w:rPr>
        <w:t>Su</w:t>
      </w:r>
      <w:proofErr w:type="spellEnd"/>
      <w:r>
        <w:rPr>
          <w:sz w:val="20"/>
          <w:szCs w:val="20"/>
        </w:rPr>
        <w:t>, B., He, J., &amp; Ng, T. S. (2025). Moving towards a net-zero emissions economy in Indonesia. Science of the Total Environment, 1001, 180542.</w:t>
      </w:r>
    </w:p>
    <w:p w14:paraId="7BF2D387" w14:textId="77777777" w:rsidR="00B43890" w:rsidRDefault="00B43890">
      <w:pPr>
        <w:rPr>
          <w:sz w:val="20"/>
          <w:szCs w:val="20"/>
        </w:rPr>
      </w:pPr>
    </w:p>
    <w:p w14:paraId="2DA9D7AF" w14:textId="77777777" w:rsidR="00B43890" w:rsidRDefault="00000000">
      <w:pPr>
        <w:rPr>
          <w:sz w:val="20"/>
          <w:szCs w:val="20"/>
        </w:rPr>
      </w:pPr>
      <w:r>
        <w:rPr>
          <w:sz w:val="20"/>
          <w:szCs w:val="20"/>
        </w:rPr>
        <w:t>Zubair, M., Awan, A. B., Rehman, M. M., Khan, M. N., &amp; Abbas, G. (2021). Residential and commercial UPS users’ contribution to load shedding and possible solutions using renewable energy. Energy Policy, 151, 112194.</w:t>
      </w:r>
    </w:p>
    <w:p w14:paraId="67C40ECB" w14:textId="77777777" w:rsidR="00B43890" w:rsidRDefault="00B43890">
      <w:pPr>
        <w:rPr>
          <w:color w:val="222222"/>
          <w:highlight w:val="white"/>
        </w:rPr>
      </w:pPr>
    </w:p>
    <w:p w14:paraId="677860C1" w14:textId="77777777" w:rsidR="00B43890" w:rsidRDefault="00B43890">
      <w:pPr>
        <w:rPr>
          <w:color w:val="222222"/>
          <w:highlight w:val="white"/>
        </w:rPr>
      </w:pPr>
    </w:p>
    <w:sectPr w:rsidR="00B43890">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7A943" w14:textId="77777777" w:rsidR="00484545" w:rsidRDefault="00484545">
      <w:pPr>
        <w:spacing w:line="240" w:lineRule="auto"/>
      </w:pPr>
      <w:r>
        <w:separator/>
      </w:r>
    </w:p>
  </w:endnote>
  <w:endnote w:type="continuationSeparator" w:id="0">
    <w:p w14:paraId="026F3981" w14:textId="77777777" w:rsidR="00484545" w:rsidRDefault="004845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embedRegular r:id="rId1" w:fontKey="{32B31535-254B-9D4E-BC1A-96E75B891953}"/>
    <w:embedItalic r:id="rId2" w:fontKey="{B01F07E2-2662-B24A-9BFC-3DE5EFC9C63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3" w:fontKey="{CC9B3236-7B9F-FC4D-BDBA-86D9FB6499A0}"/>
  </w:font>
  <w:font w:name="Times New Roman">
    <w:panose1 w:val="02020603050405020304"/>
    <w:charset w:val="00"/>
    <w:family w:val="roman"/>
    <w:pitch w:val="variable"/>
    <w:sig w:usb0="E0002EFF" w:usb1="C000785B" w:usb2="00000009" w:usb3="00000000" w:csb0="000001FF" w:csb1="00000000"/>
    <w:embedRegular r:id="rId4" w:fontKey="{988D57A4-2A25-954A-92FE-D554BA204787}"/>
    <w:embedBold r:id="rId5" w:fontKey="{F5BEA78E-7385-E141-AAAD-D4F6F1FBA4C1}"/>
  </w:font>
  <w:font w:name="Arial">
    <w:panose1 w:val="020B0604020202020204"/>
    <w:charset w:val="00"/>
    <w:family w:val="swiss"/>
    <w:pitch w:val="variable"/>
    <w:sig w:usb0="E0002AFF" w:usb1="C0007843" w:usb2="00000009" w:usb3="00000000" w:csb0="000001FF" w:csb1="00000000"/>
    <w:embedRegular r:id="rId6" w:fontKey="{A98BB7D5-B882-5E40-B13B-A4455EDA79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16531" w14:textId="77777777" w:rsidR="00B04B1C" w:rsidRDefault="00B04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8AED8" w14:textId="77777777" w:rsidR="00B04B1C" w:rsidRDefault="00B04B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D0944" w14:textId="77777777" w:rsidR="00B04B1C" w:rsidRDefault="00B04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06917" w14:textId="77777777" w:rsidR="00484545" w:rsidRDefault="00484545">
      <w:pPr>
        <w:spacing w:line="240" w:lineRule="auto"/>
      </w:pPr>
      <w:r>
        <w:separator/>
      </w:r>
    </w:p>
  </w:footnote>
  <w:footnote w:type="continuationSeparator" w:id="0">
    <w:p w14:paraId="03498224" w14:textId="77777777" w:rsidR="00484545" w:rsidRDefault="004845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BFAF0" w14:textId="77777777" w:rsidR="00B04B1C" w:rsidRDefault="00B04B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EA971" w14:textId="77777777" w:rsidR="00B43890" w:rsidRDefault="00000000">
    <w:pPr>
      <w:jc w:val="right"/>
    </w:pPr>
    <w:r>
      <w:fldChar w:fldCharType="begin"/>
    </w:r>
    <w:r>
      <w:instrText>PAGE</w:instrText>
    </w:r>
    <w:r>
      <w:fldChar w:fldCharType="separate"/>
    </w:r>
    <w:r w:rsidR="00B04B1C">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97E30" w14:textId="77777777" w:rsidR="00B04B1C" w:rsidRDefault="00B04B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displayBackgroundShape/>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890"/>
    <w:rsid w:val="00054F94"/>
    <w:rsid w:val="00484545"/>
    <w:rsid w:val="00B04B1C"/>
    <w:rsid w:val="00B438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E3C75"/>
  <w15:docId w15:val="{563160A5-C7FF-CA40-B348-342608CE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EastAsia" w:hAnsi="Cambria" w:cs="Cambria"/>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59" w:lineRule="auto"/>
      <w:outlineLvl w:val="0"/>
    </w:pPr>
    <w:rPr>
      <w:rFonts w:ascii="Calibri" w:eastAsia="Calibri" w:hAnsi="Calibri" w:cs="Calibri"/>
      <w:color w:val="1C4587"/>
      <w:sz w:val="30"/>
      <w:szCs w:val="3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04B1C"/>
    <w:pPr>
      <w:tabs>
        <w:tab w:val="center" w:pos="4513"/>
        <w:tab w:val="right" w:pos="9026"/>
      </w:tabs>
      <w:snapToGrid w:val="0"/>
      <w:spacing w:line="240" w:lineRule="auto"/>
      <w:jc w:val="center"/>
    </w:pPr>
    <w:rPr>
      <w:sz w:val="18"/>
      <w:szCs w:val="18"/>
    </w:rPr>
  </w:style>
  <w:style w:type="character" w:customStyle="1" w:styleId="HeaderChar">
    <w:name w:val="Header Char"/>
    <w:basedOn w:val="DefaultParagraphFont"/>
    <w:link w:val="Header"/>
    <w:uiPriority w:val="99"/>
    <w:rsid w:val="00B04B1C"/>
    <w:rPr>
      <w:sz w:val="18"/>
      <w:szCs w:val="18"/>
    </w:rPr>
  </w:style>
  <w:style w:type="paragraph" w:styleId="Footer">
    <w:name w:val="footer"/>
    <w:basedOn w:val="Normal"/>
    <w:link w:val="FooterChar"/>
    <w:uiPriority w:val="99"/>
    <w:unhideWhenUsed/>
    <w:rsid w:val="00B04B1C"/>
    <w:pPr>
      <w:tabs>
        <w:tab w:val="center" w:pos="4513"/>
        <w:tab w:val="right" w:pos="9026"/>
      </w:tabs>
      <w:snapToGrid w:val="0"/>
      <w:spacing w:line="240" w:lineRule="auto"/>
    </w:pPr>
    <w:rPr>
      <w:sz w:val="18"/>
      <w:szCs w:val="18"/>
    </w:rPr>
  </w:style>
  <w:style w:type="character" w:customStyle="1" w:styleId="FooterChar">
    <w:name w:val="Footer Char"/>
    <w:basedOn w:val="DefaultParagraphFont"/>
    <w:link w:val="Footer"/>
    <w:uiPriority w:val="99"/>
    <w:rsid w:val="00B04B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iea.org/countries/south-africa/emissions" TargetMode="External"/><Relationship Id="rId18" Type="http://schemas.openxmlformats.org/officeDocument/2006/relationships/hyperlink" Target="https://doi.org/10.1016/j.enpol.2022.112881" TargetMode="External"/><Relationship Id="rId26" Type="http://schemas.openxmlformats.org/officeDocument/2006/relationships/hyperlink" Target="https://duke.app.box.com/file/2053278239232?s=duxzuugghj22fe7uluvt2j816p8je6b1" TargetMode="External"/><Relationship Id="rId3" Type="http://schemas.openxmlformats.org/officeDocument/2006/relationships/settings" Target="settings.xml"/><Relationship Id="rId21" Type="http://schemas.openxmlformats.org/officeDocument/2006/relationships/hyperlink" Target="https://understand-energy.stanford.edu/why-we-care/environment" TargetMode="External"/><Relationship Id="rId34" Type="http://schemas.openxmlformats.org/officeDocument/2006/relationships/fontTable" Target="fontTable.xml"/><Relationship Id="rId7" Type="http://schemas.openxmlformats.org/officeDocument/2006/relationships/hyperlink" Target="https://doi.org/10.1177/2399654418778590" TargetMode="External"/><Relationship Id="rId12" Type="http://schemas.openxmlformats.org/officeDocument/2006/relationships/hyperlink" Target="https://uonjournals.uonbi.ac.ke/ojs/index.php/adfj/article/view/3042" TargetMode="External"/><Relationship Id="rId17" Type="http://schemas.openxmlformats.org/officeDocument/2006/relationships/hyperlink" Target="https://papers.ssrn.com/sol3/papers.cfm?abstract_id=5262055" TargetMode="External"/><Relationship Id="rId25" Type="http://schemas.openxmlformats.org/officeDocument/2006/relationships/hyperlink" Target="https://www.worldbank.org/en/topic/energy/overview"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businesstech.co.za/news/energy/814392/big-payday-for-cape-town-homeowners-with-rooftop-solar/" TargetMode="External"/><Relationship Id="rId20" Type="http://schemas.openxmlformats.org/officeDocument/2006/relationships/hyperlink" Target="https://www.pvknowhow.com/news/south-africa-solar-incentives-impressive-2024-investment/"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loadshedding.eskom.co.za/LoadShedding/ScheduleInterpretation" TargetMode="External"/><Relationship Id="rId24" Type="http://schemas.openxmlformats.org/officeDocument/2006/relationships/hyperlink" Target="https://www.engineeringnews.co.za/article/capetonians-reach-r55m-earnings-mark-in-cash-for-power-programme-2025-02-25"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i.org/10.1016/j.asej.2021.101669" TargetMode="External"/><Relationship Id="rId23" Type="http://schemas.openxmlformats.org/officeDocument/2006/relationships/hyperlink" Target="https://doi.org/10.3389/frevc.2024.1463241" TargetMode="External"/><Relationship Id="rId28" Type="http://schemas.openxmlformats.org/officeDocument/2006/relationships/header" Target="header1.xml"/><Relationship Id="rId10" Type="http://schemas.openxmlformats.org/officeDocument/2006/relationships/hyperlink" Target="https://loadshedding.eskom.co.za/LoadShedding/ScheduleInterpretation" TargetMode="External"/><Relationship Id="rId19" Type="http://schemas.openxmlformats.org/officeDocument/2006/relationships/hyperlink" Target="https://justenergytransition.co.za/"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016/j.apenergy.2020.116007" TargetMode="External"/><Relationship Id="rId14" Type="http://schemas.openxmlformats.org/officeDocument/2006/relationships/hyperlink" Target="https://www.trade.gov/country-commercial-guides/south-africa-energy" TargetMode="External"/><Relationship Id="rId22" Type="http://schemas.openxmlformats.org/officeDocument/2006/relationships/hyperlink" Target="https://doi.org/10.1016/j.enpol.2022.112804" TargetMode="External"/><Relationship Id="rId27" Type="http://schemas.openxmlformats.org/officeDocument/2006/relationships/hyperlink" Target="https://doi.org/10.1016/j.jclepro.2019.05.133"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univ-pau.hal.science/hal-02976874v1/docu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4</b:DayAccessed>
    <b:Month>June</b:Month>
    <b:MonthAccessed>December</b:MonthAccessed>
    <b:Title>Energy, the Environment, and Justice</b:Title>
    <b:URL>https://understand-energy.stanford.edu/why-we-care/environment</b:URL>
    <b:InternetSiteTitle>Understand Energy Learning Hub</b:InternetSiteTitle>
    <b:Year>2025</b:Year>
    <b:YearAccessed>2025</b:YearAccessed>
    <b:Gdcea>{"AccessedType":"Website"}</b:Gdcea>
    <b:Author>
      <b:Author>
        <b:Corporate>Stanford University</b:Corporate>
      </b:Author>
    </b:Author>
  </b:Source>
  <b:Source>
    <b:Tag>source2</b:Tag>
    <b:SourceType>DocumentFromInternetSite</b:SourceType>
    <b:Day>26</b:Day>
    <b:DayAccessed>4</b:DayAccessed>
    <b:Month>January</b:Month>
    <b:MonthAccessed>December</b:MonthAccessed>
    <b:Title>South Africa - Energy</b:Title>
    <b:URL>https://www.trade.gov/country-commercial-guides/south-africa-energy</b:URL>
    <b:InternetSiteTitle>International Trade Administration</b:InternetSiteTitle>
    <b:Year>2024</b:Year>
    <b:YearAccessed>2025</b:YearAccessed>
    <b:Gdcea>{"AccessedType":"Website"}</b:Gdcea>
    <b:Author>
      <b:Author>
        <b:Corporate>International Trade Administration</b:Corporate>
      </b:Author>
    </b:Author>
  </b:Source>
  <b:Source>
    <b:Tag>source3</b:Tag>
    <b:SourceType>DocumentFromInternetSite</b:SourceType>
    <b:DayAccessed>4</b:DayAccessed>
    <b:MonthAccessed>December</b:MonthAccessed>
    <b:Title>South Africa - Countries &amp; Regions</b:Title>
    <b:URL>https://www.iea.org/countries/south-africa/emissions</b:URL>
    <b:InternetSiteTitle>International Energy Agency</b:InternetSiteTitle>
    <b:YearAccessed>2025</b:YearAccessed>
    <b:Gdcea>{"AccessedType":"Website"}</b:Gdcea>
    <b:Author>
      <b:Author>
        <b:Corporate>International Energy Agency</b:Corporate>
      </b:Author>
    </b:Author>
  </b:Source>
  <b:Source>
    <b:Tag>source4</b:Tag>
    <b:SourceType>DocumentFromInternetSite</b:SourceType>
    <b:Day>23</b:Day>
    <b:DayAccessed>4</b:DayAccessed>
    <b:Month>June</b:Month>
    <b:MonthAccessed>December</b:MonthAccessed>
    <b:Title>Energy Overview: Development news, research, data</b:Title>
    <b:URL>https://www.worldbank.org/en/topic/energy/overview</b:URL>
    <b:InternetSiteTitle>World Bank</b:InternetSiteTitle>
    <b:Year>2025</b:Year>
    <b:YearAccessed>2025</b:YearAccessed>
    <b:Gdcea>{"AccessedType":"Website"}</b:Gdcea>
    <b:Author>
      <b:Author>
        <b:Corporate>World Bank Group</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21334</Words>
  <Characters>24108</Characters>
  <Application>Microsoft Office Word</Application>
  <DocSecurity>0</DocSecurity>
  <Lines>618</Lines>
  <Paragraphs>561</Paragraphs>
  <ScaleCrop>false</ScaleCrop>
  <Company/>
  <LinksUpToDate>false</LinksUpToDate>
  <CharactersWithSpaces>44881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Lin</cp:lastModifiedBy>
  <cp:revision>2</cp:revision>
  <dcterms:created xsi:type="dcterms:W3CDTF">2025-12-15T05:31:00Z</dcterms:created>
  <dcterms:modified xsi:type="dcterms:W3CDTF">2025-12-15T05:33:00Z</dcterms:modified>
</cp:coreProperties>
</file>