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5B41B0" w:rsidRDefault="00000000">
      <w:pPr>
        <w:pStyle w:val="Heading3"/>
        <w:spacing w:after="160"/>
        <w:rPr>
          <w:rFonts w:ascii="Times New Roman" w:eastAsia="Times New Roman" w:hAnsi="Times New Roman" w:cs="Times New Roman"/>
          <w:b/>
          <w:bCs/>
          <w:color w:val="000000"/>
        </w:rPr>
      </w:pPr>
      <w:bookmarkStart w:id="0" w:name="_tc50hfkrnhh" w:colFirst="0" w:colLast="0"/>
      <w:bookmarkEnd w:id="0"/>
      <w:r>
        <w:rPr>
          <w:rFonts w:ascii="Times New Roman" w:eastAsia="Times New Roman" w:hAnsi="Times New Roman" w:cs="Times New Roman"/>
          <w:b/>
          <w:bCs/>
          <w:color w:val="000000"/>
        </w:rPr>
        <w:t>6.1.1 DER Context and Landscape</w:t>
      </w:r>
    </w:p>
    <w:p w14:paraId="00000002" w14:textId="77777777" w:rsidR="005B41B0" w:rsidRDefault="00000000">
      <w:pPr>
        <w:spacing w:before="240" w:after="240"/>
        <w:jc w:val="both"/>
        <w:rPr>
          <w:rFonts w:ascii="Times New Roman" w:eastAsia="Times New Roman" w:hAnsi="Times New Roman" w:cs="Times New Roman"/>
        </w:rPr>
      </w:pPr>
      <w:r>
        <w:rPr>
          <w:rFonts w:ascii="Times New Roman" w:eastAsia="Times New Roman" w:hAnsi="Times New Roman" w:cs="Times New Roman"/>
        </w:rPr>
        <w:t>Massachusetts has one of the most mature DER markets in the United States, anchored by high solar penetration, with roughly 5.63 GW of installed solar capacity, and an increasingly flexible evolution toward storage and managed load. (</w:t>
      </w:r>
      <w:hyperlink r:id="rId4">
        <w:r>
          <w:rPr>
            <w:rFonts w:ascii="Times New Roman" w:eastAsia="Times New Roman" w:hAnsi="Times New Roman" w:cs="Times New Roman"/>
            <w:color w:val="1155CC"/>
            <w:u w:val="single"/>
          </w:rPr>
          <w:t>SEIA</w:t>
        </w:r>
      </w:hyperlink>
      <w:r>
        <w:rPr>
          <w:rFonts w:ascii="Times New Roman" w:eastAsia="Times New Roman" w:hAnsi="Times New Roman" w:cs="Times New Roman"/>
        </w:rPr>
        <w:t>) Unlike states where solar growth is dominated by utility scale, Massachusetts’ solar growth is primarily BTM and connected to distribution. According to the EIA, small-scale PV accounted for about two-thirds of</w:t>
      </w:r>
      <w:r>
        <w:rPr>
          <w:rFonts w:ascii="Times New Roman" w:eastAsia="Times New Roman" w:hAnsi="Times New Roman" w:cs="Times New Roman"/>
          <w:b/>
          <w:bCs/>
        </w:rPr>
        <w:t xml:space="preserve"> </w:t>
      </w:r>
      <w:r>
        <w:rPr>
          <w:rFonts w:ascii="Times New Roman" w:eastAsia="Times New Roman" w:hAnsi="Times New Roman" w:cs="Times New Roman"/>
        </w:rPr>
        <w:t>Massachusetts’</w:t>
      </w:r>
      <w:r>
        <w:rPr>
          <w:rFonts w:ascii="Times New Roman" w:eastAsia="Times New Roman" w:hAnsi="Times New Roman" w:cs="Times New Roman"/>
          <w:b/>
          <w:bCs/>
        </w:rPr>
        <w:t xml:space="preserve"> </w:t>
      </w:r>
      <w:r>
        <w:rPr>
          <w:rFonts w:ascii="Times New Roman" w:eastAsia="Times New Roman" w:hAnsi="Times New Roman" w:cs="Times New Roman"/>
        </w:rPr>
        <w:t>total solar electricity generation in 2024. (</w:t>
      </w:r>
      <w:hyperlink r:id="rId5">
        <w:r>
          <w:rPr>
            <w:rFonts w:ascii="Times New Roman" w:eastAsia="Times New Roman" w:hAnsi="Times New Roman" w:cs="Times New Roman"/>
            <w:color w:val="1155CC"/>
            <w:u w:val="single"/>
          </w:rPr>
          <w:t>EIA</w:t>
        </w:r>
      </w:hyperlink>
      <w:r>
        <w:rPr>
          <w:rFonts w:ascii="Times New Roman" w:eastAsia="Times New Roman" w:hAnsi="Times New Roman" w:cs="Times New Roman"/>
        </w:rPr>
        <w:t xml:space="preserve">) Institutionally, Massachusetts reside in a restructured market, where ISO-NE administers competitive wholesale markets and system operations, while retail customers interconnect and receive distribution service through regulated electric distribution companies. In Massachusetts, these services are dominated by Eversource, National Grid, and </w:t>
      </w:r>
      <w:proofErr w:type="spellStart"/>
      <w:r>
        <w:rPr>
          <w:rFonts w:ascii="Times New Roman" w:eastAsia="Times New Roman" w:hAnsi="Times New Roman" w:cs="Times New Roman"/>
        </w:rPr>
        <w:t>Unitil</w:t>
      </w:r>
      <w:proofErr w:type="spellEnd"/>
      <w:r>
        <w:rPr>
          <w:rFonts w:ascii="Times New Roman" w:eastAsia="Times New Roman" w:hAnsi="Times New Roman" w:cs="Times New Roman"/>
        </w:rPr>
        <w:t>, together shaping how DERs are compensated and integrated at the grid edge.</w:t>
      </w:r>
    </w:p>
    <w:p w14:paraId="00000003" w14:textId="77777777" w:rsidR="005B41B0" w:rsidRDefault="00000000">
      <w:pPr>
        <w:spacing w:before="240" w:after="240"/>
        <w:jc w:val="both"/>
        <w:rPr>
          <w:rFonts w:ascii="Times New Roman" w:eastAsia="Times New Roman" w:hAnsi="Times New Roman" w:cs="Times New Roman"/>
        </w:rPr>
      </w:pPr>
      <w:r>
        <w:rPr>
          <w:rFonts w:ascii="Times New Roman" w:eastAsia="Times New Roman" w:hAnsi="Times New Roman" w:cs="Times New Roman"/>
        </w:rPr>
        <w:t>Massachusetts’ DER landscape is supported by policy frameworks that combine long-term solar incentives, retail crediting for customer site generation, and performance signals that reward delivery during peak hours. The state’s primary solar incentive mechanism is the SMART program, which provides tariff-based compensation designed to sustain distributed solar deployment. At retail level, net metering continues to shape project economics by allowing eligible customer systems to receive bill credits for exported electricity under defined program rules and caps. In parallel, Massachusetts increasingly emphasizes timely energy delivery, rendering the introduction of the Clean Peak Energy Standard that provides an incentive structure for clean resources. The standard targets storage and flexible demand and aims to supply electricity or reduce load during peak periods, reinforcing the shift toward DERs that can provide reliable system value at critical hours.</w:t>
      </w:r>
    </w:p>
    <w:p w14:paraId="00000004" w14:textId="77777777" w:rsidR="005B41B0" w:rsidRDefault="00000000">
      <w:pPr>
        <w:spacing w:before="240" w:after="240"/>
        <w:jc w:val="both"/>
        <w:rPr>
          <w:rFonts w:ascii="Times New Roman" w:eastAsia="Times New Roman" w:hAnsi="Times New Roman" w:cs="Times New Roman"/>
        </w:rPr>
      </w:pPr>
      <w:r>
        <w:rPr>
          <w:rFonts w:ascii="Times New Roman" w:eastAsia="Times New Roman" w:hAnsi="Times New Roman" w:cs="Times New Roman"/>
        </w:rPr>
        <w:t xml:space="preserve">As a result, DER in Massachusetts is transitioning from a bill-saving mechanism to dependable peak capacity tool. The strongest signal of this transition is the rise of VPP compensation, such as the Mass Save </w:t>
      </w:r>
      <w:proofErr w:type="spellStart"/>
      <w:r>
        <w:rPr>
          <w:rFonts w:ascii="Times New Roman" w:eastAsia="Times New Roman" w:hAnsi="Times New Roman" w:cs="Times New Roman"/>
        </w:rPr>
        <w:t>ConnectedSolutions</w:t>
      </w:r>
      <w:proofErr w:type="spellEnd"/>
      <w:r>
        <w:rPr>
          <w:rFonts w:ascii="Times New Roman" w:eastAsia="Times New Roman" w:hAnsi="Times New Roman" w:cs="Times New Roman"/>
        </w:rPr>
        <w:t>, which pays battery owners based on performance during summer peak events. (</w:t>
      </w:r>
      <w:hyperlink r:id="rId6">
        <w:r>
          <w:rPr>
            <w:rFonts w:ascii="Times New Roman" w:eastAsia="Times New Roman" w:hAnsi="Times New Roman" w:cs="Times New Roman"/>
            <w:color w:val="1155CC"/>
            <w:u w:val="single"/>
          </w:rPr>
          <w:t>Mass Save</w:t>
        </w:r>
      </w:hyperlink>
      <w:r>
        <w:rPr>
          <w:rFonts w:ascii="Times New Roman" w:eastAsia="Times New Roman" w:hAnsi="Times New Roman" w:cs="Times New Roman"/>
        </w:rPr>
        <w:t>) Such compensation aligns DER with ISO-NE system needs, from peak reduction to reliability, while complements Clean Peak compliance pathways. In short, Massachusetts’ next phase is about making DERs easy to interconnect, predictable to operate, and reliably compensated for the grid services they provide.</w:t>
      </w:r>
    </w:p>
    <w:p w14:paraId="00000005" w14:textId="77777777" w:rsidR="005B41B0" w:rsidRDefault="00000000">
      <w:pPr>
        <w:pStyle w:val="Heading3"/>
        <w:spacing w:after="160"/>
        <w:rPr>
          <w:rFonts w:ascii="Times New Roman" w:eastAsia="Times New Roman" w:hAnsi="Times New Roman" w:cs="Times New Roman"/>
          <w:b/>
          <w:bCs/>
          <w:color w:val="000000"/>
        </w:rPr>
      </w:pPr>
      <w:bookmarkStart w:id="1" w:name="_ehl72p4czbe0" w:colFirst="0" w:colLast="0"/>
      <w:bookmarkEnd w:id="1"/>
      <w:r>
        <w:rPr>
          <w:rFonts w:ascii="Times New Roman" w:eastAsia="Times New Roman" w:hAnsi="Times New Roman" w:cs="Times New Roman"/>
          <w:b/>
          <w:bCs/>
          <w:color w:val="000000"/>
        </w:rPr>
        <w:t>6.1.2 DER Rate Structure Evolution</w:t>
      </w:r>
    </w:p>
    <w:p w14:paraId="00000006" w14:textId="77777777" w:rsidR="005B41B0" w:rsidRDefault="00000000">
      <w:pPr>
        <w:spacing w:before="240" w:after="240"/>
        <w:jc w:val="both"/>
        <w:rPr>
          <w:rFonts w:ascii="Times New Roman" w:eastAsia="Times New Roman" w:hAnsi="Times New Roman" w:cs="Times New Roman"/>
        </w:rPr>
      </w:pPr>
      <w:r>
        <w:rPr>
          <w:rFonts w:ascii="Times New Roman" w:eastAsia="Times New Roman" w:hAnsi="Times New Roman" w:cs="Times New Roman"/>
        </w:rPr>
        <w:t>Massachusetts’ DER rate structure has evolved from focusing on volumetric bill crediting toward emphasizing time-sensitive system value and performance-based compensation. Historically, the core customer economics for distributed PV were shaped by net metering, under which eligible facilities receive bill credits for exported generation that roll over across billing periods under program rules and caps. (</w:t>
      </w:r>
      <w:hyperlink r:id="rId7">
        <w:r>
          <w:rPr>
            <w:rFonts w:ascii="Times New Roman" w:eastAsia="Times New Roman" w:hAnsi="Times New Roman" w:cs="Times New Roman"/>
            <w:color w:val="1155CC"/>
            <w:u w:val="single"/>
          </w:rPr>
          <w:t>Massachusetts Government</w:t>
        </w:r>
      </w:hyperlink>
      <w:r>
        <w:rPr>
          <w:rFonts w:ascii="Times New Roman" w:eastAsia="Times New Roman" w:hAnsi="Times New Roman" w:cs="Times New Roman"/>
        </w:rPr>
        <w:t>) As PV adoption increased and constraints on the distribution level became more salient, Massachusetts expanded the set of tariff pathways that decouple customer compensation from traditional net metering eligibility. For instance, the SMART program introduced AOBC mechanism to allow projects that cannot receive net metering credits to assign bill credits through an administratively defined alternative crediting structure. (</w:t>
      </w:r>
      <w:hyperlink r:id="rId8">
        <w:r>
          <w:rPr>
            <w:rFonts w:ascii="Times New Roman" w:eastAsia="Times New Roman" w:hAnsi="Times New Roman" w:cs="Times New Roman"/>
            <w:color w:val="1155CC"/>
            <w:u w:val="single"/>
          </w:rPr>
          <w:t>Massachusetts Government</w:t>
        </w:r>
      </w:hyperlink>
      <w:r>
        <w:rPr>
          <w:rFonts w:ascii="Times New Roman" w:eastAsia="Times New Roman" w:hAnsi="Times New Roman" w:cs="Times New Roman"/>
        </w:rPr>
        <w:t xml:space="preserve">) With the transition to SMART 3.0, the Commonwealth reaffirmed tariff-based compensation as the primary instrument for distributed solar, with </w:t>
      </w:r>
      <w:r>
        <w:rPr>
          <w:rFonts w:ascii="Times New Roman" w:eastAsia="Times New Roman" w:hAnsi="Times New Roman" w:cs="Times New Roman"/>
        </w:rPr>
        <w:lastRenderedPageBreak/>
        <w:t>updating design elements to better align incentives with current market conditions and system needs. (</w:t>
      </w:r>
      <w:hyperlink r:id="rId9">
        <w:r>
          <w:rPr>
            <w:rFonts w:ascii="Times New Roman" w:eastAsia="Times New Roman" w:hAnsi="Times New Roman" w:cs="Times New Roman"/>
            <w:color w:val="1155CC"/>
            <w:u w:val="single"/>
          </w:rPr>
          <w:t>Massachusetts Government</w:t>
        </w:r>
      </w:hyperlink>
      <w:r>
        <w:rPr>
          <w:rFonts w:ascii="Times New Roman" w:eastAsia="Times New Roman" w:hAnsi="Times New Roman" w:cs="Times New Roman"/>
        </w:rPr>
        <w:t>)</w:t>
      </w:r>
    </w:p>
    <w:p w14:paraId="00000007" w14:textId="77777777" w:rsidR="005B41B0" w:rsidRDefault="00000000">
      <w:pPr>
        <w:spacing w:before="240" w:after="240"/>
        <w:jc w:val="both"/>
        <w:rPr>
          <w:rFonts w:ascii="Times New Roman" w:eastAsia="Times New Roman" w:hAnsi="Times New Roman" w:cs="Times New Roman"/>
        </w:rPr>
      </w:pPr>
      <w:r>
        <w:rPr>
          <w:rFonts w:ascii="Times New Roman" w:eastAsia="Times New Roman" w:hAnsi="Times New Roman" w:cs="Times New Roman"/>
        </w:rPr>
        <w:t>More recently, Massachusetts’ rate design has shifted toward value by timing mechanism, creating stronger price signals for load shifting, electrification, and dispatchable DER operation. The state also highlights policy emphasis on TOU rate design, reflecting the view that static volumetric rates are increasingly misaligned with peak-driven system costs. (</w:t>
      </w:r>
      <w:hyperlink r:id="rId10">
        <w:r>
          <w:rPr>
            <w:rFonts w:ascii="Times New Roman" w:eastAsia="Times New Roman" w:hAnsi="Times New Roman" w:cs="Times New Roman"/>
            <w:color w:val="1155CC"/>
            <w:u w:val="single"/>
          </w:rPr>
          <w:t>Massachusetts Government</w:t>
        </w:r>
      </w:hyperlink>
      <w:r>
        <w:rPr>
          <w:rFonts w:ascii="Times New Roman" w:eastAsia="Times New Roman" w:hAnsi="Times New Roman" w:cs="Times New Roman"/>
        </w:rPr>
        <w:t>) Utilities now have also moved toward targeted, usage-shaping retail rates that explicitly link customer cost recovery to electrification and peak management objectives. (</w:t>
      </w:r>
      <w:hyperlink r:id="rId11">
        <w:r>
          <w:rPr>
            <w:rFonts w:ascii="Times New Roman" w:eastAsia="Times New Roman" w:hAnsi="Times New Roman" w:cs="Times New Roman"/>
            <w:color w:val="1155CC"/>
            <w:u w:val="single"/>
          </w:rPr>
          <w:t>Massachusetts Government</w:t>
        </w:r>
      </w:hyperlink>
      <w:r>
        <w:rPr>
          <w:rFonts w:ascii="Times New Roman" w:eastAsia="Times New Roman" w:hAnsi="Times New Roman" w:cs="Times New Roman"/>
        </w:rPr>
        <w:t>) On the other hand, the compensation stack for DERs has expanded beyond the retail bill by including grid services payments that reward contribution during constrained hours. In summary, these shifts indicate a clear policy and regulatory direction of moving from DER compensation dominated by export crediting toward a more granular structure wherein DER value is determined by when and how reliably resources reduce peaks and support distribution and system reliability. (</w:t>
      </w:r>
      <w:hyperlink r:id="rId12">
        <w:r>
          <w:rPr>
            <w:rFonts w:ascii="Times New Roman" w:eastAsia="Times New Roman" w:hAnsi="Times New Roman" w:cs="Times New Roman"/>
            <w:color w:val="1155CC"/>
            <w:u w:val="single"/>
          </w:rPr>
          <w:t>Mass Save</w:t>
        </w:r>
      </w:hyperlink>
      <w:r>
        <w:rPr>
          <w:rFonts w:ascii="Times New Roman" w:eastAsia="Times New Roman" w:hAnsi="Times New Roman" w:cs="Times New Roman"/>
        </w:rPr>
        <w:t>)</w:t>
      </w:r>
    </w:p>
    <w:p w14:paraId="00000008" w14:textId="77777777" w:rsidR="005B41B0" w:rsidRDefault="00000000">
      <w:pPr>
        <w:pStyle w:val="Heading3"/>
        <w:spacing w:after="160"/>
        <w:rPr>
          <w:rFonts w:ascii="Times New Roman" w:eastAsia="Times New Roman" w:hAnsi="Times New Roman" w:cs="Times New Roman"/>
          <w:b/>
          <w:bCs/>
          <w:color w:val="000000"/>
        </w:rPr>
      </w:pPr>
      <w:bookmarkStart w:id="2" w:name="_lqqz2szgsh3m" w:colFirst="0" w:colLast="0"/>
      <w:bookmarkEnd w:id="2"/>
      <w:r>
        <w:rPr>
          <w:rFonts w:ascii="Times New Roman" w:eastAsia="Times New Roman" w:hAnsi="Times New Roman" w:cs="Times New Roman"/>
          <w:b/>
          <w:bCs/>
          <w:color w:val="000000"/>
        </w:rPr>
        <w:t>6.1.3 DER Incentives</w:t>
      </w:r>
    </w:p>
    <w:p w14:paraId="00000009" w14:textId="77777777" w:rsidR="005B41B0" w:rsidRDefault="00000000">
      <w:pPr>
        <w:spacing w:before="240" w:after="240"/>
        <w:jc w:val="both"/>
      </w:pPr>
      <w:r>
        <w:t>​​</w:t>
      </w:r>
      <w:r>
        <w:rPr>
          <w:rFonts w:ascii="Times New Roman" w:eastAsia="Times New Roman" w:hAnsi="Times New Roman" w:cs="Times New Roman"/>
        </w:rPr>
        <w:t xml:space="preserve">By 2026, the Massachusetts incentive landscape has matured beyond reliance on upfront federal tax credits and pivoted toward a comprehensive value stack of </w:t>
      </w:r>
      <w:proofErr w:type="gramStart"/>
      <w:r>
        <w:rPr>
          <w:rFonts w:ascii="Times New Roman" w:eastAsia="Times New Roman" w:hAnsi="Times New Roman" w:cs="Times New Roman"/>
        </w:rPr>
        <w:t>performance based</w:t>
      </w:r>
      <w:proofErr w:type="gramEnd"/>
      <w:r>
        <w:rPr>
          <w:rFonts w:ascii="Times New Roman" w:eastAsia="Times New Roman" w:hAnsi="Times New Roman" w:cs="Times New Roman"/>
        </w:rPr>
        <w:t xml:space="preserve"> revenue and high value bill credits. SMART 3.0 program is a tariff-based mechanism that awards residential solar owners fixed monthly production payments over a </w:t>
      </w:r>
      <w:proofErr w:type="gramStart"/>
      <w:r>
        <w:rPr>
          <w:rFonts w:ascii="Times New Roman" w:eastAsia="Times New Roman" w:hAnsi="Times New Roman" w:cs="Times New Roman"/>
        </w:rPr>
        <w:t>20 year</w:t>
      </w:r>
      <w:proofErr w:type="gramEnd"/>
      <w:r>
        <w:rPr>
          <w:rFonts w:ascii="Times New Roman" w:eastAsia="Times New Roman" w:hAnsi="Times New Roman" w:cs="Times New Roman"/>
        </w:rPr>
        <w:t xml:space="preserve"> term. Compensation averages around $0.06/kWh, reflecting a $0.03 base rate coupled with a $0.03 building-mounted adder, while low-income participants may realize rates as high as $0.09/kWh. (</w:t>
      </w:r>
      <w:hyperlink r:id="rId13">
        <w:r>
          <w:rPr>
            <w:rFonts w:ascii="Times New Roman" w:eastAsia="Times New Roman" w:hAnsi="Times New Roman" w:cs="Times New Roman"/>
            <w:color w:val="1155CC"/>
            <w:u w:val="single"/>
          </w:rPr>
          <w:t>Massachusetts Government</w:t>
        </w:r>
      </w:hyperlink>
      <w:r>
        <w:rPr>
          <w:rFonts w:ascii="Times New Roman" w:eastAsia="Times New Roman" w:hAnsi="Times New Roman" w:cs="Times New Roman"/>
        </w:rPr>
        <w:t>) In addition to rewarding solar incentives, the program also provides additional adders of $0.04/kWh for residential batteries.</w:t>
      </w:r>
    </w:p>
    <w:p w14:paraId="0000000A" w14:textId="77777777" w:rsidR="005B41B0" w:rsidRDefault="00000000">
      <w:pPr>
        <w:spacing w:before="240" w:after="240"/>
        <w:jc w:val="both"/>
      </w:pPr>
      <w:r>
        <w:rPr>
          <w:rFonts w:ascii="Times New Roman" w:eastAsia="Times New Roman" w:hAnsi="Times New Roman" w:cs="Times New Roman"/>
        </w:rPr>
        <w:t>Massachusetts offers a 1:1 Retail Net Metering policy which serves as the fundamental driver of project economics for small-scale solar. For eligible projects under 25 kW, each unit of exported generation receives a credit valued at the full retail electricity rate, which by 2026 ranges between $0.28/kWh and $0.32/kWh within the Eversource and National Grid service territories. These credits maintain their value through indefinite monthly rollovers, enabling customers to hedge winter consumption with surplus summer generation. The state continues to bolster deployment through a 15% state income tax credit that is capped at $1,000, with a comprehensive 100% sales tax exemption and a 20-year property tax exemption for the incremental value of the solar infrastructure.</w:t>
      </w:r>
    </w:p>
    <w:p w14:paraId="0000000B" w14:textId="77777777" w:rsidR="005B41B0" w:rsidRDefault="00000000">
      <w:pPr>
        <w:pStyle w:val="Heading3"/>
        <w:spacing w:after="160"/>
        <w:rPr>
          <w:rFonts w:ascii="Times New Roman" w:eastAsia="Times New Roman" w:hAnsi="Times New Roman" w:cs="Times New Roman"/>
          <w:b/>
          <w:bCs/>
          <w:color w:val="000000"/>
        </w:rPr>
      </w:pPr>
      <w:bookmarkStart w:id="3" w:name="_8idf59czprms" w:colFirst="0" w:colLast="0"/>
      <w:bookmarkEnd w:id="3"/>
      <w:r>
        <w:rPr>
          <w:rFonts w:ascii="Times New Roman" w:eastAsia="Times New Roman" w:hAnsi="Times New Roman" w:cs="Times New Roman"/>
          <w:b/>
          <w:bCs/>
          <w:color w:val="000000"/>
        </w:rPr>
        <w:t>6.1.4 Methodology</w:t>
      </w:r>
    </w:p>
    <w:p w14:paraId="0000000C" w14:textId="77777777" w:rsidR="005B41B0" w:rsidRDefault="005B41B0"/>
    <w:p w14:paraId="0000000D" w14:textId="77777777" w:rsidR="005B41B0" w:rsidRDefault="00000000">
      <w:pPr>
        <w:pStyle w:val="Heading3"/>
        <w:spacing w:after="160"/>
        <w:rPr>
          <w:rFonts w:ascii="Times New Roman" w:eastAsia="Times New Roman" w:hAnsi="Times New Roman" w:cs="Times New Roman"/>
          <w:b/>
          <w:bCs/>
          <w:color w:val="000000"/>
        </w:rPr>
      </w:pPr>
      <w:bookmarkStart w:id="4" w:name="_7llvsbmuxplf" w:colFirst="0" w:colLast="0"/>
      <w:bookmarkEnd w:id="4"/>
      <w:r>
        <w:rPr>
          <w:rFonts w:ascii="Times New Roman" w:eastAsia="Times New Roman" w:hAnsi="Times New Roman" w:cs="Times New Roman"/>
          <w:b/>
          <w:bCs/>
          <w:color w:val="000000"/>
        </w:rPr>
        <w:t>6.1.5 Scenarios and Results</w:t>
      </w:r>
    </w:p>
    <w:p w14:paraId="0000000E" w14:textId="77777777" w:rsidR="005B41B0" w:rsidRDefault="00000000">
      <w:pPr>
        <w:pStyle w:val="Heading3"/>
        <w:spacing w:after="160"/>
        <w:rPr>
          <w:rFonts w:ascii="Times New Roman" w:eastAsia="Times New Roman" w:hAnsi="Times New Roman" w:cs="Times New Roman"/>
          <w:b/>
          <w:bCs/>
          <w:color w:val="000000"/>
        </w:rPr>
      </w:pPr>
      <w:bookmarkStart w:id="5" w:name="_z1tve1fgenet" w:colFirst="0" w:colLast="0"/>
      <w:bookmarkEnd w:id="5"/>
      <w:r>
        <w:rPr>
          <w:rFonts w:ascii="Times New Roman" w:eastAsia="Times New Roman" w:hAnsi="Times New Roman" w:cs="Times New Roman"/>
          <w:b/>
          <w:bCs/>
          <w:color w:val="000000"/>
        </w:rPr>
        <w:t>6.1.6 Implications</w:t>
      </w:r>
    </w:p>
    <w:p w14:paraId="0000000F" w14:textId="77777777" w:rsidR="005B41B0" w:rsidRDefault="005B41B0">
      <w:pPr>
        <w:pStyle w:val="Heading3"/>
        <w:rPr>
          <w:rFonts w:ascii="Times New Roman" w:eastAsia="Times New Roman" w:hAnsi="Times New Roman" w:cs="Times New Roman"/>
          <w:b/>
          <w:bCs/>
          <w:color w:val="000000"/>
        </w:rPr>
      </w:pPr>
      <w:bookmarkStart w:id="6" w:name="_tk72s09b8grn" w:colFirst="0" w:colLast="0"/>
      <w:bookmarkEnd w:id="6"/>
    </w:p>
    <w:sectPr w:rsidR="005B41B0">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embedRegular r:id="rId1" w:fontKey="{A0112081-B21F-914E-9A5E-DC28DD1A3BD8}"/>
    <w:embedItalic r:id="rId2" w:fontKey="{85F5E04B-A766-FA4B-B77B-4B5C05E10091}"/>
  </w:font>
  <w:font w:name="SimSun">
    <w:altName w:val="宋体"/>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embedRegular r:id="rId3" w:fontKey="{F23673DE-59A4-964F-87FA-D16CB0EB6A25}"/>
    <w:embedBold r:id="rId4" w:fontKey="{E3BDCF59-8C5B-E445-A455-2939ED98FBA8}"/>
  </w:font>
  <w:font w:name="Calibri">
    <w:panose1 w:val="020F0502020204030204"/>
    <w:charset w:val="00"/>
    <w:family w:val="swiss"/>
    <w:pitch w:val="variable"/>
    <w:sig w:usb0="A00002EF" w:usb1="4000207B" w:usb2="00000000" w:usb3="00000000" w:csb0="0000009F" w:csb1="00000000"/>
    <w:embedRegular r:id="rId5" w:fontKey="{3A03D26B-CD9C-2A49-9C59-D6CA35C45025}"/>
  </w:font>
  <w:font w:name="Cambria">
    <w:panose1 w:val="02040503050406030204"/>
    <w:charset w:val="00"/>
    <w:family w:val="roman"/>
    <w:pitch w:val="variable"/>
    <w:sig w:usb0="A00002EF" w:usb1="4000004B" w:usb2="00000000" w:usb3="00000000" w:csb0="0000009F" w:csb1="00000000"/>
    <w:embedRegular r:id="rId6" w:fontKey="{B94F19DA-C135-2D47-8C56-28A1647720DA}"/>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3"/>
  <w:embedTrueTypeFonts/>
  <w:bordersDoNotSurroundHeader/>
  <w:bordersDoNotSurroundFooter/>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B41B0"/>
    <w:rsid w:val="005B41B0"/>
    <w:rsid w:val="00B15838"/>
    <w:rsid w:val="00C42CD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5:docId w15:val="{1A581556-FF2B-A146-A5E7-184819B024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EastAsia" w:hAnsi="Arial" w:cs="Arial"/>
        <w:sz w:val="22"/>
        <w:szCs w:val="22"/>
        <w:lang w:val="en" w:eastAsia="zh-C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rFonts w:eastAsia="Arial"/>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mass.gov/info-details/smart-10-20-program-details?utm_source=chatgpt.com" TargetMode="External"/><Relationship Id="rId13" Type="http://schemas.openxmlformats.org/officeDocument/2006/relationships/hyperlink" Target="https://www.mass.gov/" TargetMode="External"/><Relationship Id="rId3" Type="http://schemas.openxmlformats.org/officeDocument/2006/relationships/webSettings" Target="webSettings.xml"/><Relationship Id="rId7" Type="http://schemas.openxmlformats.org/officeDocument/2006/relationships/hyperlink" Target="https://www.mass.gov/info-details/net-metering-guide?utm_source=chatgpt.com" TargetMode="External"/><Relationship Id="rId12" Type="http://schemas.openxmlformats.org/officeDocument/2006/relationships/hyperlink" Target="https://www.masssave.com/residential/rebates-offers-services/battery-storage-and-evs/batteries?utm_source=chatgpt.com"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masssave.com/residential/rebates-offers-services/battery-storage-and-evs/batteries?utm_source=chatgpt.com" TargetMode="External"/><Relationship Id="rId11" Type="http://schemas.openxmlformats.org/officeDocument/2006/relationships/hyperlink" Target="https://www.mass.gov/info-details/residential-electric-seasonal-heat-pump-rates?utm_source=chatgpt.com" TargetMode="External"/><Relationship Id="rId5" Type="http://schemas.openxmlformats.org/officeDocument/2006/relationships/hyperlink" Target="https://www.eia.gov/states/MA/analysis?utm_source=chatgpt.com" TargetMode="External"/><Relationship Id="rId15" Type="http://schemas.openxmlformats.org/officeDocument/2006/relationships/theme" Target="theme/theme1.xml"/><Relationship Id="rId10" Type="http://schemas.openxmlformats.org/officeDocument/2006/relationships/hyperlink" Target="https://www.mass.gov/doc/topic-1-time-of-use-rate-design-targeted-conversation/download?utm_source=chatgpt.com" TargetMode="External"/><Relationship Id="rId4" Type="http://schemas.openxmlformats.org/officeDocument/2006/relationships/hyperlink" Target="https://seia.org/state-solar-policy/massachusetts-solar/?utm_source=chatgpt.com" TargetMode="External"/><Relationship Id="rId9" Type="http://schemas.openxmlformats.org/officeDocument/2006/relationships/hyperlink" Target="https://www.mass.gov/info-details/smart-30-program-details?utm_source=chatgpt.com" TargetMode="Externa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Pages>
  <Words>881</Words>
  <Characters>5488</Characters>
  <Application>Microsoft Office Word</Application>
  <DocSecurity>0</DocSecurity>
  <Lines>71</Lines>
  <Paragraphs>13</Paragraphs>
  <ScaleCrop>false</ScaleCrop>
  <Company>Duke NSOE MEM 2026 Cohort</Company>
  <LinksUpToDate>false</LinksUpToDate>
  <CharactersWithSpaces>6356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Duke NSOE MEM 2026 Cohort</cp:lastModifiedBy>
  <cp:revision>2</cp:revision>
  <dcterms:created xsi:type="dcterms:W3CDTF">2026-03-20T17:50:00Z</dcterms:created>
  <dcterms:modified xsi:type="dcterms:W3CDTF">2026-03-20T17:50:00Z</dcterms:modified>
</cp:coreProperties>
</file>