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453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扶稳夕阳路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守护安全家</w:t>
      </w:r>
      <w:r>
        <w:rPr>
          <w:rFonts w:hint="eastAsia"/>
          <w:sz w:val="24"/>
          <w:szCs w:val="24"/>
          <w:lang w:eastAsia="zh-CN"/>
        </w:rPr>
        <w:t>——</w:t>
      </w:r>
      <w:r>
        <w:rPr>
          <w:rFonts w:hint="eastAsia"/>
          <w:sz w:val="24"/>
          <w:szCs w:val="24"/>
        </w:rPr>
        <w:t>基于9073养老格局的天津市防跌倒扶手需求配置与优化路径研究</w:t>
      </w:r>
    </w:p>
    <w:p w14:paraId="6F41F7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摘要</w:t>
      </w:r>
    </w:p>
    <w:p w14:paraId="39993B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关键词</w:t>
      </w:r>
    </w:p>
    <w:p w14:paraId="59451F70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第一章 绪论</w:t>
      </w:r>
    </w:p>
    <w:p w14:paraId="1BC24F41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一、研究背景</w:t>
      </w:r>
    </w:p>
    <w:p w14:paraId="1DD13306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二、研究目的与意义</w:t>
      </w:r>
    </w:p>
    <w:p w14:paraId="3F3593B0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三、文献综述</w:t>
      </w:r>
    </w:p>
    <w:p w14:paraId="35EDBF72">
      <w:pPr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</w:rPr>
        <w:t>（一）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跌倒 </w:t>
      </w:r>
      <w:r>
        <w:rPr>
          <w:rFonts w:hint="eastAsia"/>
          <w:color w:val="0000FF"/>
          <w:sz w:val="24"/>
          <w:szCs w:val="24"/>
        </w:rPr>
        <w:t>防跌倒扶手</w:t>
      </w:r>
      <w:r>
        <w:rPr>
          <w:rFonts w:hint="eastAsia"/>
          <w:color w:val="0000FF"/>
          <w:sz w:val="24"/>
          <w:szCs w:val="24"/>
          <w:lang w:val="en-US" w:eastAsia="zh-CN"/>
        </w:rPr>
        <w:t>辅具</w:t>
      </w:r>
      <w:r>
        <w:rPr>
          <w:rFonts w:hint="eastAsia"/>
          <w:color w:val="0000FF"/>
          <w:sz w:val="24"/>
          <w:szCs w:val="24"/>
        </w:rPr>
        <w:t>相关研究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color w:val="0000FF"/>
          <w:sz w:val="24"/>
          <w:szCs w:val="24"/>
        </w:rPr>
        <w:t>养老格局下适老化设施需求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z w:val="24"/>
          <w:szCs w:val="24"/>
          <w:lang w:val="en-US" w:eastAsia="zh-CN"/>
        </w:rPr>
        <w:t>等</w:t>
      </w:r>
    </w:p>
    <w:p w14:paraId="1D064828">
      <w:pPr>
        <w:rPr>
          <w:rFonts w:hint="eastAsia"/>
          <w:color w:val="0000FF"/>
          <w:sz w:val="32"/>
          <w:szCs w:val="32"/>
        </w:rPr>
      </w:pP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  <w:lang w:val="en-US" w:eastAsia="zh-CN"/>
        </w:rPr>
        <w:t>二</w:t>
      </w:r>
      <w:r>
        <w:rPr>
          <w:rFonts w:hint="eastAsia"/>
          <w:color w:val="0000FF"/>
          <w:sz w:val="24"/>
          <w:szCs w:val="24"/>
        </w:rPr>
        <w:t>）基于Citespace的文献可视化分析</w:t>
      </w:r>
    </w:p>
    <w:p w14:paraId="59C51798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四、研究思路与技术路线</w:t>
      </w:r>
    </w:p>
    <w:p w14:paraId="08323A92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（一）研究思路</w:t>
      </w:r>
    </w:p>
    <w:p w14:paraId="0262EC57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（二）技术路线</w:t>
      </w:r>
    </w:p>
    <w:p w14:paraId="029F41A8">
      <w:pPr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五、研究特色与创新点</w:t>
      </w:r>
    </w:p>
    <w:p w14:paraId="770184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第二章 理论基础与模型构建</w:t>
      </w:r>
    </w:p>
    <w:p w14:paraId="2DC05A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一、核心理论基础</w:t>
      </w:r>
    </w:p>
    <w:p w14:paraId="6D12CE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（一）计划行为理论（TPB）</w:t>
      </w:r>
    </w:p>
    <w:p w14:paraId="07CFF0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（二）代际团结理论</w:t>
      </w:r>
    </w:p>
    <w:p w14:paraId="470E84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（三）供需匹配理论</w:t>
      </w:r>
    </w:p>
    <w:p w14:paraId="2CB06DA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（四）</w:t>
      </w:r>
      <w:r>
        <w:rPr>
          <w:rFonts w:hint="eastAsia"/>
          <w:sz w:val="24"/>
          <w:szCs w:val="24"/>
          <w:lang w:val="en-US" w:eastAsia="zh-CN"/>
        </w:rPr>
        <w:t>健康信念模型（HBM）</w:t>
      </w:r>
    </w:p>
    <w:p w14:paraId="139200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二、研究模型构建</w:t>
      </w:r>
      <w:bookmarkStart w:id="0" w:name="_GoBack"/>
      <w:bookmarkEnd w:id="0"/>
    </w:p>
    <w:p w14:paraId="433026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三、研究假设</w:t>
      </w:r>
    </w:p>
    <w:p w14:paraId="039844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第三章 调查方案设计与实施</w:t>
      </w:r>
    </w:p>
    <w:p w14:paraId="21610D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一、调查对象与调研范围</w:t>
      </w:r>
    </w:p>
    <w:p w14:paraId="3229F7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（一）调查对象</w:t>
      </w:r>
    </w:p>
    <w:p w14:paraId="693FBF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（二）调研范围</w:t>
      </w:r>
    </w:p>
    <w:p w14:paraId="6F2C9A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二、研究方法</w:t>
      </w:r>
    </w:p>
    <w:p w14:paraId="570B6D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（一）调研方法</w:t>
      </w:r>
    </w:p>
    <w:p w14:paraId="1A251D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（二）数据分析方法</w:t>
      </w:r>
    </w:p>
    <w:p w14:paraId="13DFD5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三、问卷设计与预调研</w:t>
      </w:r>
    </w:p>
    <w:p w14:paraId="123254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（一）问卷设计原则与结构</w:t>
      </w:r>
    </w:p>
    <w:p w14:paraId="1378B0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</w:rPr>
        <w:t>）预调研实施与信效度检验</w:t>
      </w:r>
    </w:p>
    <w:p w14:paraId="5C248B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三</w:t>
      </w:r>
      <w:r>
        <w:rPr>
          <w:rFonts w:hint="eastAsia"/>
          <w:sz w:val="24"/>
          <w:szCs w:val="24"/>
        </w:rPr>
        <w:t>）问卷调整与完善</w:t>
      </w:r>
    </w:p>
    <w:p w14:paraId="629A6D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四、抽样方案与样本量确定</w:t>
      </w:r>
    </w:p>
    <w:p w14:paraId="6EDD9F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（一）抽样方法</w:t>
      </w:r>
    </w:p>
    <w:p w14:paraId="3D68CB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（二）样本量确定</w:t>
      </w:r>
    </w:p>
    <w:p w14:paraId="794756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五、正式调查实施与质量控制</w:t>
      </w:r>
    </w:p>
    <w:p w14:paraId="283C0D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（一）正式问卷发放与回收</w:t>
      </w:r>
    </w:p>
    <w:p w14:paraId="2C52F1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（二）数据质量控制</w:t>
      </w:r>
    </w:p>
    <w:p w14:paraId="58793D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（三）正式调查信效度检验</w:t>
      </w:r>
    </w:p>
    <w:p w14:paraId="61CCC8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第四章 双主体需求特征与意愿影响机制分析</w:t>
      </w:r>
    </w:p>
    <w:p w14:paraId="591C8F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一、样本基本信息描述性统计</w:t>
      </w:r>
    </w:p>
    <w:p w14:paraId="67656F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二、防跌倒扶手配置现状分析</w:t>
      </w:r>
    </w:p>
    <w:p w14:paraId="5B5DE1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三、双主体需求特征描述性统计</w:t>
      </w:r>
    </w:p>
    <w:p w14:paraId="65A074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四、双主体意愿水平描述性统计</w:t>
      </w:r>
    </w:p>
    <w:p w14:paraId="316669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五、基于PLS-SEM的双主体意愿影响机制分析</w:t>
      </w:r>
    </w:p>
    <w:p w14:paraId="359B89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第五章 需求群体聚类与画像构建</w:t>
      </w:r>
    </w:p>
    <w:p w14:paraId="399BBC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一、聚类方法与指标选择</w:t>
      </w:r>
    </w:p>
    <w:p w14:paraId="1EA1C1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二、老年人群体聚类结果与画像</w:t>
      </w:r>
    </w:p>
    <w:p w14:paraId="021AE6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三、子女群体聚类结果与画像</w:t>
      </w:r>
    </w:p>
    <w:p w14:paraId="303093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第六章 基于语义网络的需求配置与优化路径</w:t>
      </w:r>
    </w:p>
    <w:p w14:paraId="205F0B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一、语义网络分析设计</w:t>
      </w:r>
    </w:p>
    <w:p w14:paraId="59D1930D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第七章 研究结论与展望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047794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一、研究结论</w:t>
      </w:r>
    </w:p>
    <w:p w14:paraId="50AC4F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二、研究不足</w:t>
      </w:r>
    </w:p>
    <w:p w14:paraId="75F6B1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三、未来展望</w:t>
      </w:r>
    </w:p>
    <w:p w14:paraId="4B233576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E7C48"/>
    <w:rsid w:val="157764C2"/>
    <w:rsid w:val="2C267E1B"/>
    <w:rsid w:val="2D2A56E9"/>
    <w:rsid w:val="338F44F8"/>
    <w:rsid w:val="4C883D82"/>
    <w:rsid w:val="4F400944"/>
    <w:rsid w:val="4F5D14F6"/>
    <w:rsid w:val="633E04CB"/>
    <w:rsid w:val="74D07EF1"/>
    <w:rsid w:val="75B01AD0"/>
    <w:rsid w:val="784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339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2026-02-10T08:26:00Z</dcterms:created>
  <dc:creator>34633</dc:creator>
  <cp:lastModifiedBy>Día Brillante</cp:lastModifiedBy>
  <dcterms:modified xsi:type="dcterms:W3CDTF">2026-02-24T12:28:30Z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KSOTemplateDocerSaveRecord">
    <vt:lpwstr>eyJoZGlkIjoiMzEwNTM5NzYwMDRjMzkwZTVkZjY2ODkwMGIxNGU0OTUiLCJ1c2VySWQiOiI5MjcwODYzODkifQ==</vt:lpwstr>
  </property>
  <property fmtid="{D5CDD505-2E9C-101B-9397-08002B2CF9AE}" pid="4" name="ICV">
    <vt:lpwstr>34577E6B16A04C4AA98C029AD0028C8C_12</vt:lpwstr>
  </property>
</Properties>
</file>