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8222A">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黑体" w:hAnsi="黑体" w:eastAsia="黑体" w:cs="黑体"/>
          <w:sz w:val="30"/>
          <w:szCs w:val="30"/>
        </w:rPr>
      </w:pPr>
      <w:r>
        <w:rPr>
          <w:rFonts w:hint="eastAsia" w:ascii="黑体" w:hAnsi="黑体" w:eastAsia="黑体" w:cs="黑体"/>
          <w:sz w:val="30"/>
          <w:szCs w:val="30"/>
        </w:rPr>
        <w:t>第</w:t>
      </w:r>
      <w:r>
        <w:rPr>
          <w:rFonts w:hint="eastAsia" w:ascii="黑体" w:hAnsi="黑体" w:eastAsia="黑体" w:cs="黑体"/>
          <w:sz w:val="30"/>
          <w:szCs w:val="30"/>
          <w:lang w:val="en-US" w:eastAsia="zh-CN"/>
        </w:rPr>
        <w:t>六</w:t>
      </w:r>
      <w:r>
        <w:rPr>
          <w:rFonts w:hint="eastAsia" w:ascii="黑体" w:hAnsi="黑体" w:eastAsia="黑体" w:cs="黑体"/>
          <w:sz w:val="30"/>
          <w:szCs w:val="30"/>
        </w:rPr>
        <w:t>章 基于语义网络的需求配置与优化路径</w:t>
      </w:r>
    </w:p>
    <w:p w14:paraId="758A05F2">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黑体" w:hAnsi="黑体" w:eastAsia="黑体" w:cs="黑体"/>
          <w:sz w:val="28"/>
          <w:szCs w:val="28"/>
        </w:rPr>
      </w:pPr>
      <w:r>
        <w:rPr>
          <w:rFonts w:hint="eastAsia" w:ascii="黑体" w:hAnsi="黑体" w:eastAsia="黑体" w:cs="黑体"/>
          <w:sz w:val="28"/>
          <w:szCs w:val="28"/>
        </w:rPr>
        <w:t>一、语义网络分析设计</w:t>
      </w:r>
    </w:p>
    <w:p w14:paraId="629B70A3">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b/>
          <w:bCs/>
          <w:sz w:val="24"/>
          <w:szCs w:val="24"/>
        </w:rPr>
      </w:pPr>
      <w:r>
        <w:rPr>
          <w:rFonts w:hint="eastAsia"/>
          <w:b/>
          <w:bCs/>
          <w:sz w:val="24"/>
          <w:szCs w:val="24"/>
        </w:rPr>
        <w:t>（一）分析思路与方法选择</w:t>
      </w:r>
    </w:p>
    <w:p w14:paraId="7E01E94E">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Times New Roman" w:hAnsi="Times New Roman" w:cs="Times New Roman"/>
          <w:sz w:val="24"/>
          <w:szCs w:val="24"/>
        </w:rPr>
      </w:pPr>
      <w:r>
        <w:rPr>
          <w:rFonts w:hint="eastAsia" w:ascii="Times New Roman" w:hAnsi="Times New Roman" w:cs="Times New Roman"/>
          <w:sz w:val="24"/>
          <w:szCs w:val="24"/>
        </w:rPr>
        <w:t>前述各章基于李克特量表与结构方程模型，对老年人及子女在防跌倒扶手方面的需求特征与意愿影响机制进行了量化分析。然而，封闭式问卷在议题涵盖上存在固有局限，难以完整捕捉受访者对产品改进与政策支持的具体期待</w:t>
      </w:r>
      <w:r>
        <w:rPr>
          <w:rFonts w:hint="eastAsia" w:ascii="Times New Roman" w:hAnsi="Times New Roman" w:cs="Times New Roman"/>
          <w:sz w:val="24"/>
          <w:szCs w:val="24"/>
          <w:lang w:eastAsia="zh-CN"/>
        </w:rPr>
        <w:t>。</w:t>
      </w:r>
      <w:r>
        <w:rPr>
          <w:rFonts w:hint="eastAsia" w:ascii="Times New Roman" w:hAnsi="Times New Roman" w:cs="Times New Roman"/>
          <w:sz w:val="24"/>
          <w:szCs w:val="24"/>
        </w:rPr>
        <w:t>为此，本章对问卷中两类开放性文本问题进行语义网络分析</w:t>
      </w:r>
      <w:r>
        <w:rPr>
          <w:rFonts w:hint="default" w:ascii="Times New Roman" w:hAnsi="Times New Roman" w:cs="Times New Roman"/>
          <w:sz w:val="24"/>
          <w:szCs w:val="24"/>
        </w:rPr>
        <w:t>（Semantic Network Analysis，SNA），</w:t>
      </w:r>
      <w:r>
        <w:rPr>
          <w:rFonts w:hint="eastAsia" w:ascii="Times New Roman" w:hAnsi="Times New Roman" w:cs="Times New Roman"/>
          <w:sz w:val="24"/>
          <w:szCs w:val="24"/>
        </w:rPr>
        <w:t>以补充量化结论所无法触及的质性维度。</w:t>
      </w:r>
    </w:p>
    <w:p w14:paraId="74042742">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语义网络分析是一种以词语共现关系为基础的文本计算方法，通过构建词语节点与共现边所组成的网络结构，揭示文本语料中潜藏的概念关联与主题聚类模式。与传统词频统计相比，语义网络分析不仅能够识别高频核心词，还能通过中心性指标（度中心性、中介中心性、接近中心性）刻画词语在整体语义结构中的地位与桥接功能，更适合用于探索性需求挖掘与政策议题识别。</w:t>
      </w:r>
    </w:p>
    <w:p w14:paraId="78F3DF21">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default"/>
          <w:b/>
          <w:bCs/>
          <w:sz w:val="24"/>
          <w:szCs w:val="24"/>
        </w:rPr>
      </w:pPr>
      <w:r>
        <w:rPr>
          <w:rFonts w:hint="default"/>
          <w:b/>
          <w:bCs/>
          <w:sz w:val="24"/>
          <w:szCs w:val="24"/>
        </w:rPr>
        <w:t>（二）数据来源</w:t>
      </w:r>
    </w:p>
    <w:p w14:paraId="513C486B">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本章分析数据来源于正式问卷的两组开放性填答题目：</w:t>
      </w:r>
    </w:p>
    <w:p w14:paraId="5B709D5B">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Times New Roman" w:hAnsi="Times New Roman" w:cs="Times New Roman"/>
          <w:sz w:val="24"/>
          <w:szCs w:val="24"/>
          <w:lang w:eastAsia="zh-CN"/>
        </w:rPr>
      </w:pPr>
      <w:r>
        <w:rPr>
          <w:rFonts w:hint="eastAsia" w:ascii="Times New Roman" w:hAnsi="Times New Roman" w:cs="Times New Roman"/>
          <w:sz w:val="24"/>
          <w:szCs w:val="24"/>
          <w:lang w:val="en-US" w:eastAsia="zh-CN"/>
        </w:rPr>
        <w:t>1）</w:t>
      </w:r>
      <w:r>
        <w:rPr>
          <w:rFonts w:hint="default" w:ascii="Times New Roman" w:hAnsi="Times New Roman" w:cs="Times New Roman"/>
          <w:sz w:val="24"/>
          <w:szCs w:val="24"/>
        </w:rPr>
        <w:t>产品需求维度：老年人问卷</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您对当前防跌倒扶手的产品设计（如功能、材质、操作方式等）有哪些改进建议</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（有效回答337条）与子女问卷</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您认为当前防跌倒扶手在产品设计、购买渠道、安装服务等方面存在哪些问题？</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（有效回答227条），合并后共计564条有效文本</w:t>
      </w:r>
      <w:r>
        <w:rPr>
          <w:rFonts w:hint="eastAsia" w:ascii="Times New Roman" w:hAnsi="Times New Roman" w:cs="Times New Roman"/>
          <w:sz w:val="24"/>
          <w:szCs w:val="24"/>
          <w:lang w:eastAsia="zh-CN"/>
        </w:rPr>
        <w:t>。</w:t>
      </w:r>
    </w:p>
    <w:p w14:paraId="5EF43C11">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政策支持维度：老年人问卷“您希望政府或社区在防跌倒扶手的推广、安装、使用等方面提供哪些支持？”（有效回答248条）与子女问卷“为了让老人更愿意接受和使用防跌倒扶手，您希望获得哪些外部支持（如政策、社区服务等）？”（有效回答189条），合并后共计437条有效文本。</w:t>
      </w:r>
    </w:p>
    <w:p w14:paraId="13FC0B90">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有效文本的筛选标准为字符数大于4个，且排除</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无</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暂无</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没有</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等无实质信息的填答。</w:t>
      </w:r>
    </w:p>
    <w:p w14:paraId="4766256F">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default"/>
          <w:b/>
          <w:bCs/>
          <w:sz w:val="24"/>
          <w:szCs w:val="24"/>
          <w:lang w:val="en-US" w:eastAsia="zh-CN"/>
        </w:rPr>
      </w:pPr>
      <w:r>
        <w:rPr>
          <w:rFonts w:hint="default"/>
          <w:b/>
          <w:bCs/>
          <w:sz w:val="24"/>
          <w:szCs w:val="24"/>
          <w:lang w:val="en-US" w:eastAsia="zh-CN"/>
        </w:rPr>
        <w:t>（三）分析流程</w:t>
      </w:r>
    </w:p>
    <w:p w14:paraId="56A27D78">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本章语义网络分析按以下步骤实施：</w:t>
      </w:r>
    </w:p>
    <w:p w14:paraId="381858E2">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第一步，中文分词与停用词过滤。 采用 jieba 中文分词工具对原始文本进行精确模式分词，并预先加载防跌倒扶手相关领域词典（含</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防跌倒</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适老化改造</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长护险</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等专业术语），以保证专有名词的切分准确性。分词后对通用虚词、问卷题目本身出现的泛化词（如</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老年人</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扶手</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建议</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等）及无实质语义的高频词进行过滤，保留长度≥2个字符的实义词。</w:t>
      </w:r>
    </w:p>
    <w:p w14:paraId="07EE601D">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第二步，构建词语共现矩阵。 以每条回答文本为共现窗口，统计同一文本内词语对的共现频次，设定最低共现频次阈值（产品需求：边权≥4，政策支持：边权≥3），过滤低频弱连接噪音边，并对词语进行词频阈值（≥3次）筛选，保留信息密度较高的核心词节点。</w:t>
      </w:r>
    </w:p>
    <w:p w14:paraId="10D24C67">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第三步，网络构建与指标计算。 利用 NetworkX构建加权无向共现网络，提取最大连通分量以确保网络连通性，并对度数不足（degree &lt; 2）的悬挂节点进行迭代剪枝。在此基础上，计算各节点的度中心性（Degree Centrality）、中介中心性（Betweenness Centrality）及接近中心性（Closeness Centrality），综合反映词语的连接广度、桥接能力与网络可达性。</w:t>
      </w:r>
    </w:p>
    <w:p w14:paraId="0EBA446B">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第四步，社区发现与可视化。 采用贪心模块度最大化（Greedy Modularity）算法识别网络中的语义社区结构，并使用ggraph进行可视化呈现，以节点颜色区分社区归属，以节点大小映射词频，以边的粗细反映共现强度。</w:t>
      </w:r>
    </w:p>
    <w:p w14:paraId="32244F7D">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二、</w:t>
      </w:r>
      <w:r>
        <w:rPr>
          <w:rFonts w:hint="default" w:ascii="黑体" w:hAnsi="黑体" w:eastAsia="黑体" w:cs="黑体"/>
          <w:sz w:val="28"/>
          <w:szCs w:val="28"/>
          <w:lang w:val="en-US" w:eastAsia="zh-CN"/>
        </w:rPr>
        <w:t>防跌倒扶手产品需求语义网络分析</w:t>
      </w:r>
    </w:p>
    <w:p w14:paraId="6DAF281A">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b/>
          <w:bCs/>
          <w:sz w:val="24"/>
          <w:szCs w:val="24"/>
          <w:lang w:val="en-US" w:eastAsia="zh-CN"/>
        </w:rPr>
      </w:pPr>
      <w:r>
        <w:rPr>
          <w:rFonts w:hint="eastAsia"/>
          <w:b/>
          <w:bCs/>
          <w:sz w:val="24"/>
          <w:szCs w:val="24"/>
          <w:lang w:val="en-US" w:eastAsia="zh-CN"/>
        </w:rPr>
        <w:t>（1）网络结构概述</w:t>
      </w:r>
    </w:p>
    <w:p w14:paraId="3F365CD5">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对老年人及其子女在产品需求方面的开放性文本进行语义网络构建，共提取有效节点12个，形成2个语义社区（见图</w:t>
      </w:r>
      <w:r>
        <w:rPr>
          <w:rFonts w:hint="eastAsia" w:ascii="Times New Roman" w:hAnsi="Times New Roman" w:cs="Times New Roman"/>
          <w:sz w:val="24"/>
          <w:szCs w:val="24"/>
          <w:lang w:val="en-US" w:eastAsia="zh-CN"/>
        </w:rPr>
        <w:t>6-1</w:t>
      </w:r>
      <w:r>
        <w:rPr>
          <w:rFonts w:hint="default" w:ascii="Times New Roman" w:hAnsi="Times New Roman" w:cs="Times New Roman"/>
          <w:sz w:val="24"/>
          <w:szCs w:val="24"/>
          <w:lang w:val="en-US" w:eastAsia="zh-CN"/>
        </w:rPr>
        <w:t>）。网络核心由渠道（词频43，度中心性1.000）、购买（词频48，度中心性1.000）、安装服务（词频40，度中心性1.000）、师傅（词频52，度中心性1.000）四个节点构成完全连接子图，表明受访者在谈及产品需求时，对</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通过何种渠道购</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由谁上门安装</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这一核心流程的关注高度集中。</w:t>
      </w:r>
    </w:p>
    <w:p w14:paraId="0C1C80C2">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结实（中介中心性0.2727）在网络中承担跨社区桥接功能，是唯一具有显著中介作用的词节点，说明</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产品耐用性</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是连通购买决策与质量评价两类议题的关键语义纽带。</w:t>
      </w:r>
    </w:p>
    <w:p w14:paraId="5401B43E">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表6-1 产品需求维度高频词汇TOP15</w:t>
      </w:r>
    </w:p>
    <w:tbl>
      <w:tblPr>
        <w:tblStyle w:val="2"/>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347"/>
        <w:gridCol w:w="3172"/>
      </w:tblGrid>
      <w:tr w14:paraId="5F2C9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5347"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4D0963BE">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词语</w:t>
            </w:r>
          </w:p>
        </w:tc>
        <w:tc>
          <w:tcPr>
            <w:tcW w:w="3172"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6E07690E">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频次</w:t>
            </w:r>
          </w:p>
        </w:tc>
      </w:tr>
      <w:tr w14:paraId="540F0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34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02FC08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师傅</w:t>
            </w:r>
          </w:p>
        </w:tc>
        <w:tc>
          <w:tcPr>
            <w:tcW w:w="317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79AD31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52</w:t>
            </w:r>
          </w:p>
        </w:tc>
      </w:tr>
      <w:tr w14:paraId="0EBC0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347" w:type="dxa"/>
            <w:tcBorders>
              <w:top w:val="nil"/>
              <w:left w:val="nil"/>
              <w:bottom w:val="nil"/>
              <w:right w:val="nil"/>
            </w:tcBorders>
            <w:shd w:val="clear" w:color="auto" w:fill="auto"/>
            <w:noWrap w:val="0"/>
            <w:tcMar>
              <w:top w:w="-1" w:type="dxa"/>
              <w:left w:w="-1" w:type="dxa"/>
              <w:bottom w:w="-1" w:type="dxa"/>
              <w:right w:w="-1" w:type="dxa"/>
            </w:tcMar>
            <w:vAlign w:val="center"/>
          </w:tcPr>
          <w:p w14:paraId="1BA4A7B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购买</w:t>
            </w:r>
          </w:p>
        </w:tc>
        <w:tc>
          <w:tcPr>
            <w:tcW w:w="3172" w:type="dxa"/>
            <w:tcBorders>
              <w:top w:val="nil"/>
              <w:left w:val="nil"/>
              <w:bottom w:val="nil"/>
              <w:right w:val="nil"/>
            </w:tcBorders>
            <w:shd w:val="clear" w:color="auto" w:fill="auto"/>
            <w:noWrap w:val="0"/>
            <w:tcMar>
              <w:top w:w="-1" w:type="dxa"/>
              <w:left w:w="-1" w:type="dxa"/>
              <w:bottom w:w="-1" w:type="dxa"/>
              <w:right w:w="-1" w:type="dxa"/>
            </w:tcMar>
            <w:vAlign w:val="center"/>
          </w:tcPr>
          <w:p w14:paraId="1EE5D43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48</w:t>
            </w:r>
          </w:p>
        </w:tc>
      </w:tr>
      <w:tr w14:paraId="39381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347" w:type="dxa"/>
            <w:tcBorders>
              <w:top w:val="nil"/>
              <w:left w:val="nil"/>
              <w:bottom w:val="nil"/>
              <w:right w:val="nil"/>
            </w:tcBorders>
            <w:shd w:val="clear" w:color="auto" w:fill="auto"/>
            <w:noWrap w:val="0"/>
            <w:tcMar>
              <w:top w:w="-1" w:type="dxa"/>
              <w:left w:w="-1" w:type="dxa"/>
              <w:bottom w:w="-1" w:type="dxa"/>
              <w:right w:w="-1" w:type="dxa"/>
            </w:tcMar>
            <w:vAlign w:val="center"/>
          </w:tcPr>
          <w:p w14:paraId="4BA550C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材质</w:t>
            </w:r>
          </w:p>
        </w:tc>
        <w:tc>
          <w:tcPr>
            <w:tcW w:w="3172" w:type="dxa"/>
            <w:tcBorders>
              <w:top w:val="nil"/>
              <w:left w:val="nil"/>
              <w:bottom w:val="nil"/>
              <w:right w:val="nil"/>
            </w:tcBorders>
            <w:shd w:val="clear" w:color="auto" w:fill="auto"/>
            <w:noWrap w:val="0"/>
            <w:tcMar>
              <w:top w:w="-1" w:type="dxa"/>
              <w:left w:w="-1" w:type="dxa"/>
              <w:bottom w:w="-1" w:type="dxa"/>
              <w:right w:w="-1" w:type="dxa"/>
            </w:tcMar>
            <w:vAlign w:val="center"/>
          </w:tcPr>
          <w:p w14:paraId="52C7ABE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45</w:t>
            </w:r>
          </w:p>
        </w:tc>
      </w:tr>
      <w:tr w14:paraId="2B726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347" w:type="dxa"/>
            <w:tcBorders>
              <w:top w:val="nil"/>
              <w:left w:val="nil"/>
              <w:bottom w:val="nil"/>
              <w:right w:val="nil"/>
            </w:tcBorders>
            <w:shd w:val="clear" w:color="auto" w:fill="auto"/>
            <w:noWrap w:val="0"/>
            <w:tcMar>
              <w:top w:w="-1" w:type="dxa"/>
              <w:left w:w="-1" w:type="dxa"/>
              <w:bottom w:w="-1" w:type="dxa"/>
              <w:right w:w="-1" w:type="dxa"/>
            </w:tcMar>
            <w:vAlign w:val="center"/>
          </w:tcPr>
          <w:p w14:paraId="7283D1A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渠道</w:t>
            </w:r>
          </w:p>
        </w:tc>
        <w:tc>
          <w:tcPr>
            <w:tcW w:w="3172" w:type="dxa"/>
            <w:tcBorders>
              <w:top w:val="nil"/>
              <w:left w:val="nil"/>
              <w:bottom w:val="nil"/>
              <w:right w:val="nil"/>
            </w:tcBorders>
            <w:shd w:val="clear" w:color="auto" w:fill="auto"/>
            <w:noWrap w:val="0"/>
            <w:tcMar>
              <w:top w:w="-1" w:type="dxa"/>
              <w:left w:w="-1" w:type="dxa"/>
              <w:bottom w:w="-1" w:type="dxa"/>
              <w:right w:w="-1" w:type="dxa"/>
            </w:tcMar>
            <w:vAlign w:val="center"/>
          </w:tcPr>
          <w:p w14:paraId="64FF7DE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43</w:t>
            </w:r>
          </w:p>
        </w:tc>
      </w:tr>
      <w:tr w14:paraId="3CBBA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34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4F7D03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安装服务</w:t>
            </w:r>
          </w:p>
        </w:tc>
        <w:tc>
          <w:tcPr>
            <w:tcW w:w="317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A9CB0C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40</w:t>
            </w:r>
          </w:p>
        </w:tc>
      </w:tr>
    </w:tbl>
    <w:p w14:paraId="3CE51F67">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续</w:t>
      </w:r>
      <w:r>
        <w:rPr>
          <w:rFonts w:hint="default" w:ascii="Times New Roman" w:hAnsi="Times New Roman" w:cs="Times New Roman"/>
          <w:sz w:val="24"/>
          <w:szCs w:val="24"/>
          <w:lang w:val="en-US" w:eastAsia="zh-CN"/>
        </w:rPr>
        <w:t>表6-1 产品需求维度高频词汇TOP15</w:t>
      </w:r>
    </w:p>
    <w:tbl>
      <w:tblPr>
        <w:tblStyle w:val="2"/>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59"/>
        <w:gridCol w:w="4260"/>
      </w:tblGrid>
      <w:tr w14:paraId="2B91D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4259"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161DED09">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词语</w:t>
            </w:r>
          </w:p>
        </w:tc>
        <w:tc>
          <w:tcPr>
            <w:tcW w:w="4260"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789B5B3B">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频次</w:t>
            </w:r>
          </w:p>
        </w:tc>
      </w:tr>
      <w:tr w14:paraId="5B3AD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4259" w:type="dxa"/>
            <w:tcBorders>
              <w:top w:val="single" w:color="000000" w:sz="4" w:space="0"/>
              <w:left w:val="nil"/>
              <w:bottom w:val="nil"/>
              <w:right w:val="nil"/>
            </w:tcBorders>
            <w:shd w:val="clear" w:color="auto" w:fill="auto"/>
            <w:noWrap w:val="0"/>
            <w:tcMar>
              <w:top w:w="-1" w:type="dxa"/>
              <w:left w:w="-1" w:type="dxa"/>
              <w:bottom w:w="-1" w:type="dxa"/>
              <w:right w:w="-1" w:type="dxa"/>
            </w:tcMar>
            <w:vAlign w:val="center"/>
          </w:tcPr>
          <w:p w14:paraId="1BE5EFF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网上</w:t>
            </w:r>
          </w:p>
        </w:tc>
        <w:tc>
          <w:tcPr>
            <w:tcW w:w="4260" w:type="dxa"/>
            <w:tcBorders>
              <w:top w:val="single" w:color="000000" w:sz="4" w:space="0"/>
              <w:left w:val="nil"/>
              <w:bottom w:val="nil"/>
              <w:right w:val="nil"/>
            </w:tcBorders>
            <w:shd w:val="clear" w:color="auto" w:fill="auto"/>
            <w:noWrap w:val="0"/>
            <w:tcMar>
              <w:top w:w="-1" w:type="dxa"/>
              <w:left w:w="-1" w:type="dxa"/>
              <w:bottom w:w="-1" w:type="dxa"/>
              <w:right w:w="-1" w:type="dxa"/>
            </w:tcMar>
            <w:vAlign w:val="center"/>
          </w:tcPr>
          <w:p w14:paraId="5C4D82F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26</w:t>
            </w:r>
          </w:p>
        </w:tc>
      </w:tr>
      <w:tr w14:paraId="3DB24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4259" w:type="dxa"/>
            <w:tcBorders>
              <w:top w:val="nil"/>
              <w:left w:val="nil"/>
              <w:bottom w:val="nil"/>
              <w:right w:val="nil"/>
            </w:tcBorders>
            <w:shd w:val="clear" w:color="auto" w:fill="auto"/>
            <w:noWrap w:val="0"/>
            <w:tcMar>
              <w:top w:w="-1" w:type="dxa"/>
              <w:left w:w="-1" w:type="dxa"/>
              <w:bottom w:w="-1" w:type="dxa"/>
              <w:right w:w="-1" w:type="dxa"/>
            </w:tcMar>
            <w:vAlign w:val="center"/>
          </w:tcPr>
          <w:p w14:paraId="4B971B4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表面</w:t>
            </w:r>
          </w:p>
        </w:tc>
        <w:tc>
          <w:tcPr>
            <w:tcW w:w="4260" w:type="dxa"/>
            <w:tcBorders>
              <w:top w:val="nil"/>
              <w:left w:val="nil"/>
              <w:bottom w:val="nil"/>
              <w:right w:val="nil"/>
            </w:tcBorders>
            <w:shd w:val="clear" w:color="auto" w:fill="auto"/>
            <w:noWrap w:val="0"/>
            <w:tcMar>
              <w:top w:w="-1" w:type="dxa"/>
              <w:left w:w="-1" w:type="dxa"/>
              <w:bottom w:w="-1" w:type="dxa"/>
              <w:right w:w="-1" w:type="dxa"/>
            </w:tcMar>
            <w:vAlign w:val="center"/>
          </w:tcPr>
          <w:p w14:paraId="3576305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24</w:t>
            </w:r>
          </w:p>
        </w:tc>
      </w:tr>
      <w:tr w14:paraId="213A7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4259" w:type="dxa"/>
            <w:tcBorders>
              <w:top w:val="nil"/>
              <w:left w:val="nil"/>
              <w:bottom w:val="nil"/>
              <w:right w:val="nil"/>
            </w:tcBorders>
            <w:shd w:val="clear" w:color="auto" w:fill="auto"/>
            <w:noWrap w:val="0"/>
            <w:tcMar>
              <w:top w:w="-1" w:type="dxa"/>
              <w:left w:w="-1" w:type="dxa"/>
              <w:bottom w:w="-1" w:type="dxa"/>
              <w:right w:w="-1" w:type="dxa"/>
            </w:tcMar>
            <w:vAlign w:val="center"/>
          </w:tcPr>
          <w:p w14:paraId="662C8D0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颜色</w:t>
            </w:r>
          </w:p>
        </w:tc>
        <w:tc>
          <w:tcPr>
            <w:tcW w:w="4260" w:type="dxa"/>
            <w:tcBorders>
              <w:top w:val="nil"/>
              <w:left w:val="nil"/>
              <w:bottom w:val="nil"/>
              <w:right w:val="nil"/>
            </w:tcBorders>
            <w:shd w:val="clear" w:color="auto" w:fill="auto"/>
            <w:noWrap w:val="0"/>
            <w:tcMar>
              <w:top w:w="-1" w:type="dxa"/>
              <w:left w:w="-1" w:type="dxa"/>
              <w:bottom w:w="-1" w:type="dxa"/>
              <w:right w:w="-1" w:type="dxa"/>
            </w:tcMar>
            <w:vAlign w:val="center"/>
          </w:tcPr>
          <w:p w14:paraId="2929C6B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22</w:t>
            </w:r>
          </w:p>
        </w:tc>
      </w:tr>
      <w:tr w14:paraId="15CC3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4259" w:type="dxa"/>
            <w:tcBorders>
              <w:top w:val="nil"/>
              <w:left w:val="nil"/>
              <w:bottom w:val="nil"/>
              <w:right w:val="nil"/>
            </w:tcBorders>
            <w:shd w:val="clear" w:color="auto" w:fill="auto"/>
            <w:noWrap w:val="0"/>
            <w:tcMar>
              <w:top w:w="-1" w:type="dxa"/>
              <w:left w:w="-1" w:type="dxa"/>
              <w:bottom w:w="-1" w:type="dxa"/>
              <w:right w:w="-1" w:type="dxa"/>
            </w:tcMar>
            <w:vAlign w:val="center"/>
          </w:tcPr>
          <w:p w14:paraId="34ED4DF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高度</w:t>
            </w:r>
          </w:p>
        </w:tc>
        <w:tc>
          <w:tcPr>
            <w:tcW w:w="4260" w:type="dxa"/>
            <w:tcBorders>
              <w:top w:val="nil"/>
              <w:left w:val="nil"/>
              <w:bottom w:val="nil"/>
              <w:right w:val="nil"/>
            </w:tcBorders>
            <w:shd w:val="clear" w:color="auto" w:fill="auto"/>
            <w:noWrap w:val="0"/>
            <w:tcMar>
              <w:top w:w="-1" w:type="dxa"/>
              <w:left w:w="-1" w:type="dxa"/>
              <w:bottom w:w="-1" w:type="dxa"/>
              <w:right w:w="-1" w:type="dxa"/>
            </w:tcMar>
            <w:vAlign w:val="center"/>
          </w:tcPr>
          <w:p w14:paraId="7DDB920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21</w:t>
            </w:r>
          </w:p>
        </w:tc>
      </w:tr>
      <w:tr w14:paraId="5E12F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4259" w:type="dxa"/>
            <w:tcBorders>
              <w:top w:val="nil"/>
              <w:left w:val="nil"/>
              <w:bottom w:val="nil"/>
              <w:right w:val="nil"/>
            </w:tcBorders>
            <w:shd w:val="clear" w:color="auto" w:fill="auto"/>
            <w:noWrap w:val="0"/>
            <w:tcMar>
              <w:top w:w="-1" w:type="dxa"/>
              <w:left w:w="-1" w:type="dxa"/>
              <w:bottom w:w="-1" w:type="dxa"/>
              <w:right w:w="-1" w:type="dxa"/>
            </w:tcMar>
            <w:vAlign w:val="center"/>
          </w:tcPr>
          <w:p w14:paraId="3B86AF5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安全</w:t>
            </w:r>
          </w:p>
        </w:tc>
        <w:tc>
          <w:tcPr>
            <w:tcW w:w="4260" w:type="dxa"/>
            <w:tcBorders>
              <w:top w:val="nil"/>
              <w:left w:val="nil"/>
              <w:bottom w:val="nil"/>
              <w:right w:val="nil"/>
            </w:tcBorders>
            <w:shd w:val="clear" w:color="auto" w:fill="auto"/>
            <w:noWrap w:val="0"/>
            <w:tcMar>
              <w:top w:w="-1" w:type="dxa"/>
              <w:left w:w="-1" w:type="dxa"/>
              <w:bottom w:w="-1" w:type="dxa"/>
              <w:right w:w="-1" w:type="dxa"/>
            </w:tcMar>
            <w:vAlign w:val="center"/>
          </w:tcPr>
          <w:p w14:paraId="589CB11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21</w:t>
            </w:r>
          </w:p>
        </w:tc>
      </w:tr>
      <w:tr w14:paraId="20A44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4259" w:type="dxa"/>
            <w:tcBorders>
              <w:top w:val="nil"/>
              <w:left w:val="nil"/>
              <w:bottom w:val="nil"/>
              <w:right w:val="nil"/>
            </w:tcBorders>
            <w:shd w:val="clear" w:color="auto" w:fill="auto"/>
            <w:noWrap w:val="0"/>
            <w:tcMar>
              <w:top w:w="-1" w:type="dxa"/>
              <w:left w:w="-1" w:type="dxa"/>
              <w:bottom w:w="-1" w:type="dxa"/>
              <w:right w:w="-1" w:type="dxa"/>
            </w:tcMar>
            <w:vAlign w:val="center"/>
          </w:tcPr>
          <w:p w14:paraId="0146395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价格</w:t>
            </w:r>
          </w:p>
        </w:tc>
        <w:tc>
          <w:tcPr>
            <w:tcW w:w="4260" w:type="dxa"/>
            <w:tcBorders>
              <w:top w:val="nil"/>
              <w:left w:val="nil"/>
              <w:bottom w:val="nil"/>
              <w:right w:val="nil"/>
            </w:tcBorders>
            <w:shd w:val="clear" w:color="auto" w:fill="auto"/>
            <w:noWrap w:val="0"/>
            <w:tcMar>
              <w:top w:w="-1" w:type="dxa"/>
              <w:left w:w="-1" w:type="dxa"/>
              <w:bottom w:w="-1" w:type="dxa"/>
              <w:right w:w="-1" w:type="dxa"/>
            </w:tcMar>
            <w:vAlign w:val="center"/>
          </w:tcPr>
          <w:p w14:paraId="228F29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21</w:t>
            </w:r>
          </w:p>
        </w:tc>
      </w:tr>
      <w:tr w14:paraId="38D55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4259" w:type="dxa"/>
            <w:tcBorders>
              <w:top w:val="nil"/>
              <w:left w:val="nil"/>
              <w:bottom w:val="nil"/>
              <w:right w:val="nil"/>
            </w:tcBorders>
            <w:shd w:val="clear" w:color="auto" w:fill="auto"/>
            <w:noWrap w:val="0"/>
            <w:tcMar>
              <w:top w:w="-1" w:type="dxa"/>
              <w:left w:w="-1" w:type="dxa"/>
              <w:bottom w:w="-1" w:type="dxa"/>
              <w:right w:w="-1" w:type="dxa"/>
            </w:tcMar>
            <w:vAlign w:val="center"/>
          </w:tcPr>
          <w:p w14:paraId="46F41BE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固定</w:t>
            </w:r>
          </w:p>
        </w:tc>
        <w:tc>
          <w:tcPr>
            <w:tcW w:w="4260" w:type="dxa"/>
            <w:tcBorders>
              <w:top w:val="nil"/>
              <w:left w:val="nil"/>
              <w:bottom w:val="nil"/>
              <w:right w:val="nil"/>
            </w:tcBorders>
            <w:shd w:val="clear" w:color="auto" w:fill="auto"/>
            <w:noWrap w:val="0"/>
            <w:tcMar>
              <w:top w:w="-1" w:type="dxa"/>
              <w:left w:w="-1" w:type="dxa"/>
              <w:bottom w:w="-1" w:type="dxa"/>
              <w:right w:w="-1" w:type="dxa"/>
            </w:tcMar>
            <w:vAlign w:val="center"/>
          </w:tcPr>
          <w:p w14:paraId="572E385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18</w:t>
            </w:r>
          </w:p>
        </w:tc>
      </w:tr>
      <w:tr w14:paraId="0091D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4259" w:type="dxa"/>
            <w:tcBorders>
              <w:top w:val="nil"/>
              <w:left w:val="nil"/>
              <w:bottom w:val="nil"/>
              <w:right w:val="nil"/>
            </w:tcBorders>
            <w:shd w:val="clear" w:color="auto" w:fill="auto"/>
            <w:noWrap w:val="0"/>
            <w:tcMar>
              <w:top w:w="-1" w:type="dxa"/>
              <w:left w:w="-1" w:type="dxa"/>
              <w:bottom w:w="-1" w:type="dxa"/>
              <w:right w:w="-1" w:type="dxa"/>
            </w:tcMar>
            <w:vAlign w:val="center"/>
          </w:tcPr>
          <w:p w14:paraId="4E4B0D4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螺丝</w:t>
            </w:r>
          </w:p>
        </w:tc>
        <w:tc>
          <w:tcPr>
            <w:tcW w:w="4260" w:type="dxa"/>
            <w:tcBorders>
              <w:top w:val="nil"/>
              <w:left w:val="nil"/>
              <w:bottom w:val="nil"/>
              <w:right w:val="nil"/>
            </w:tcBorders>
            <w:shd w:val="clear" w:color="auto" w:fill="auto"/>
            <w:noWrap w:val="0"/>
            <w:tcMar>
              <w:top w:w="-1" w:type="dxa"/>
              <w:left w:w="-1" w:type="dxa"/>
              <w:bottom w:w="-1" w:type="dxa"/>
              <w:right w:w="-1" w:type="dxa"/>
            </w:tcMar>
            <w:vAlign w:val="center"/>
          </w:tcPr>
          <w:p w14:paraId="6A8C54E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16</w:t>
            </w:r>
          </w:p>
        </w:tc>
      </w:tr>
      <w:tr w14:paraId="4B9D9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4259" w:type="dxa"/>
            <w:tcBorders>
              <w:top w:val="nil"/>
              <w:left w:val="nil"/>
              <w:bottom w:val="nil"/>
              <w:right w:val="nil"/>
            </w:tcBorders>
            <w:shd w:val="clear" w:color="auto" w:fill="auto"/>
            <w:noWrap w:val="0"/>
            <w:tcMar>
              <w:top w:w="-1" w:type="dxa"/>
              <w:left w:w="-1" w:type="dxa"/>
              <w:bottom w:w="-1" w:type="dxa"/>
              <w:right w:w="-1" w:type="dxa"/>
            </w:tcMar>
            <w:vAlign w:val="center"/>
          </w:tcPr>
          <w:p w14:paraId="7FB921C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结实</w:t>
            </w:r>
          </w:p>
        </w:tc>
        <w:tc>
          <w:tcPr>
            <w:tcW w:w="4260" w:type="dxa"/>
            <w:tcBorders>
              <w:top w:val="nil"/>
              <w:left w:val="nil"/>
              <w:bottom w:val="nil"/>
              <w:right w:val="nil"/>
            </w:tcBorders>
            <w:shd w:val="clear" w:color="auto" w:fill="auto"/>
            <w:noWrap w:val="0"/>
            <w:tcMar>
              <w:top w:w="-1" w:type="dxa"/>
              <w:left w:w="-1" w:type="dxa"/>
              <w:bottom w:w="-1" w:type="dxa"/>
              <w:right w:w="-1" w:type="dxa"/>
            </w:tcMar>
            <w:vAlign w:val="center"/>
          </w:tcPr>
          <w:p w14:paraId="468985B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16</w:t>
            </w:r>
          </w:p>
        </w:tc>
      </w:tr>
      <w:tr w14:paraId="058FC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425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2B9B6C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防滑</w:t>
            </w:r>
          </w:p>
        </w:tc>
        <w:tc>
          <w:tcPr>
            <w:tcW w:w="426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0D3E17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15</w:t>
            </w:r>
          </w:p>
        </w:tc>
      </w:tr>
    </w:tbl>
    <w:p w14:paraId="2C30030D">
      <w:pPr>
        <w:keepNext w:val="0"/>
        <w:keepLines w:val="0"/>
        <w:pageBreakBefore w:val="0"/>
        <w:widowControl w:val="0"/>
        <w:kinsoku/>
        <w:wordWrap/>
        <w:overflowPunct/>
        <w:topLinePunct w:val="0"/>
        <w:autoSpaceDE/>
        <w:autoSpaceDN/>
        <w:bidi w:val="0"/>
        <w:adjustRightInd/>
        <w:snapToGrid/>
        <w:spacing w:before="157" w:beforeLines="50" w:line="300" w:lineRule="auto"/>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74310" cy="3574415"/>
            <wp:effectExtent l="0" t="0" r="8890" b="6985"/>
            <wp:docPr id="1" name="图片 1" descr="产品需求_语义网络_R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产品需求_语义网络_R版"/>
                    <pic:cNvPicPr>
                      <a:picLocks noChangeAspect="1"/>
                    </pic:cNvPicPr>
                  </pic:nvPicPr>
                  <pic:blipFill>
                    <a:blip r:embed="rId4"/>
                    <a:srcRect t="5124"/>
                    <a:stretch>
                      <a:fillRect/>
                    </a:stretch>
                  </pic:blipFill>
                  <pic:spPr>
                    <a:xfrm>
                      <a:off x="0" y="0"/>
                      <a:ext cx="5274310" cy="3574415"/>
                    </a:xfrm>
                    <a:prstGeom prst="rect">
                      <a:avLst/>
                    </a:prstGeom>
                  </pic:spPr>
                </pic:pic>
              </a:graphicData>
            </a:graphic>
          </wp:inline>
        </w:drawing>
      </w:r>
    </w:p>
    <w:p w14:paraId="176E8534">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图6-1 防跌倒扶手产品需求语义网络图谱</w:t>
      </w:r>
    </w:p>
    <w:p w14:paraId="4BE802CB">
      <w:pPr>
        <w:keepNext w:val="0"/>
        <w:keepLines w:val="0"/>
        <w:pageBreakBefore w:val="0"/>
        <w:widowControl w:val="0"/>
        <w:kinsoku/>
        <w:wordWrap/>
        <w:overflowPunct/>
        <w:topLinePunct w:val="0"/>
        <w:autoSpaceDE/>
        <w:autoSpaceDN/>
        <w:bidi w:val="0"/>
        <w:adjustRightInd/>
        <w:snapToGrid/>
        <w:spacing w:before="157" w:beforeLines="50" w:line="300" w:lineRule="auto"/>
        <w:jc w:val="left"/>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注：该图基于564条有效开放性文本（老年人问卷337条＋子女问卷227条），经jieba中文分词、共现矩阵构建及贪心模块度最大化（Greedy Modularity）算法社区发现所得。</w:t>
      </w:r>
    </w:p>
    <w:p w14:paraId="35059394">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表6-2 产品需求语义网络核心节点中心性指标</w:t>
      </w:r>
    </w:p>
    <w:tbl>
      <w:tblPr>
        <w:tblStyle w:val="2"/>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16"/>
        <w:gridCol w:w="851"/>
        <w:gridCol w:w="1420"/>
        <w:gridCol w:w="1705"/>
        <w:gridCol w:w="1705"/>
        <w:gridCol w:w="1422"/>
      </w:tblGrid>
      <w:tr w14:paraId="39F7F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16"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14B97429">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词语</w:t>
            </w:r>
          </w:p>
        </w:tc>
        <w:tc>
          <w:tcPr>
            <w:tcW w:w="851"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1AAEE682">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词频</w:t>
            </w:r>
          </w:p>
        </w:tc>
        <w:tc>
          <w:tcPr>
            <w:tcW w:w="1420"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4C878522">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度中心性</w:t>
            </w:r>
          </w:p>
        </w:tc>
        <w:tc>
          <w:tcPr>
            <w:tcW w:w="1705"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55387FC3">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中介中心性</w:t>
            </w:r>
          </w:p>
        </w:tc>
        <w:tc>
          <w:tcPr>
            <w:tcW w:w="1705"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4A7E7893">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接近中心性</w:t>
            </w:r>
          </w:p>
        </w:tc>
        <w:tc>
          <w:tcPr>
            <w:tcW w:w="1421"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42F3E7B1">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所属社区</w:t>
            </w:r>
          </w:p>
        </w:tc>
      </w:tr>
      <w:tr w14:paraId="2A42A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1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3C28D2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渠道</w:t>
            </w:r>
          </w:p>
        </w:tc>
        <w:tc>
          <w:tcPr>
            <w:tcW w:w="85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AD1171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43</w:t>
            </w:r>
          </w:p>
        </w:tc>
        <w:tc>
          <w:tcPr>
            <w:tcW w:w="142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815877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70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85B803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0.1545</w:t>
            </w:r>
          </w:p>
        </w:tc>
        <w:tc>
          <w:tcPr>
            <w:tcW w:w="170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8C6539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42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640291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r>
      <w:tr w14:paraId="7876B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shd w:val="clear" w:color="auto" w:fill="auto"/>
            <w:noWrap w:val="0"/>
            <w:tcMar>
              <w:top w:w="-1" w:type="dxa"/>
              <w:left w:w="-1" w:type="dxa"/>
              <w:bottom w:w="-1" w:type="dxa"/>
              <w:right w:w="-1" w:type="dxa"/>
            </w:tcMar>
            <w:vAlign w:val="center"/>
          </w:tcPr>
          <w:p w14:paraId="5A45D9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购买</w:t>
            </w:r>
          </w:p>
        </w:tc>
        <w:tc>
          <w:tcPr>
            <w:tcW w:w="851" w:type="dxa"/>
            <w:tcBorders>
              <w:top w:val="nil"/>
              <w:left w:val="nil"/>
              <w:bottom w:val="nil"/>
              <w:right w:val="nil"/>
            </w:tcBorders>
            <w:shd w:val="clear" w:color="auto" w:fill="auto"/>
            <w:noWrap w:val="0"/>
            <w:tcMar>
              <w:top w:w="-1" w:type="dxa"/>
              <w:left w:w="-1" w:type="dxa"/>
              <w:bottom w:w="-1" w:type="dxa"/>
              <w:right w:w="-1" w:type="dxa"/>
            </w:tcMar>
            <w:vAlign w:val="center"/>
          </w:tcPr>
          <w:p w14:paraId="004EE75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48</w:t>
            </w:r>
          </w:p>
        </w:tc>
        <w:tc>
          <w:tcPr>
            <w:tcW w:w="1420" w:type="dxa"/>
            <w:tcBorders>
              <w:top w:val="nil"/>
              <w:left w:val="nil"/>
              <w:bottom w:val="nil"/>
              <w:right w:val="nil"/>
            </w:tcBorders>
            <w:shd w:val="clear" w:color="auto" w:fill="auto"/>
            <w:noWrap w:val="0"/>
            <w:tcMar>
              <w:top w:w="-1" w:type="dxa"/>
              <w:left w:w="-1" w:type="dxa"/>
              <w:bottom w:w="-1" w:type="dxa"/>
              <w:right w:w="-1" w:type="dxa"/>
            </w:tcMar>
            <w:vAlign w:val="center"/>
          </w:tcPr>
          <w:p w14:paraId="67D2AD3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705" w:type="dxa"/>
            <w:tcBorders>
              <w:top w:val="nil"/>
              <w:left w:val="nil"/>
              <w:bottom w:val="nil"/>
              <w:right w:val="nil"/>
            </w:tcBorders>
            <w:shd w:val="clear" w:color="auto" w:fill="auto"/>
            <w:noWrap w:val="0"/>
            <w:tcMar>
              <w:top w:w="-1" w:type="dxa"/>
              <w:left w:w="-1" w:type="dxa"/>
              <w:bottom w:w="-1" w:type="dxa"/>
              <w:right w:w="-1" w:type="dxa"/>
            </w:tcMar>
            <w:vAlign w:val="center"/>
          </w:tcPr>
          <w:p w14:paraId="1A8AC1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0.0818</w:t>
            </w:r>
          </w:p>
        </w:tc>
        <w:tc>
          <w:tcPr>
            <w:tcW w:w="1705" w:type="dxa"/>
            <w:tcBorders>
              <w:top w:val="nil"/>
              <w:left w:val="nil"/>
              <w:bottom w:val="nil"/>
              <w:right w:val="nil"/>
            </w:tcBorders>
            <w:shd w:val="clear" w:color="auto" w:fill="auto"/>
            <w:noWrap w:val="0"/>
            <w:tcMar>
              <w:top w:w="-1" w:type="dxa"/>
              <w:left w:w="-1" w:type="dxa"/>
              <w:bottom w:w="-1" w:type="dxa"/>
              <w:right w:w="-1" w:type="dxa"/>
            </w:tcMar>
            <w:vAlign w:val="center"/>
          </w:tcPr>
          <w:p w14:paraId="31E159A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421" w:type="dxa"/>
            <w:tcBorders>
              <w:top w:val="nil"/>
              <w:left w:val="nil"/>
              <w:bottom w:val="nil"/>
              <w:right w:val="nil"/>
            </w:tcBorders>
            <w:shd w:val="clear" w:color="auto" w:fill="auto"/>
            <w:noWrap w:val="0"/>
            <w:tcMar>
              <w:top w:w="-1" w:type="dxa"/>
              <w:left w:w="-1" w:type="dxa"/>
              <w:bottom w:w="-1" w:type="dxa"/>
              <w:right w:w="-1" w:type="dxa"/>
            </w:tcMar>
            <w:vAlign w:val="center"/>
          </w:tcPr>
          <w:p w14:paraId="34BC584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r>
      <w:tr w14:paraId="3D7A5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shd w:val="clear" w:color="auto" w:fill="auto"/>
            <w:noWrap w:val="0"/>
            <w:tcMar>
              <w:top w:w="-1" w:type="dxa"/>
              <w:left w:w="-1" w:type="dxa"/>
              <w:bottom w:w="-1" w:type="dxa"/>
              <w:right w:w="-1" w:type="dxa"/>
            </w:tcMar>
            <w:vAlign w:val="center"/>
          </w:tcPr>
          <w:p w14:paraId="5C10FC3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师傅</w:t>
            </w:r>
          </w:p>
        </w:tc>
        <w:tc>
          <w:tcPr>
            <w:tcW w:w="851" w:type="dxa"/>
            <w:tcBorders>
              <w:top w:val="nil"/>
              <w:left w:val="nil"/>
              <w:bottom w:val="nil"/>
              <w:right w:val="nil"/>
            </w:tcBorders>
            <w:shd w:val="clear" w:color="auto" w:fill="auto"/>
            <w:noWrap w:val="0"/>
            <w:tcMar>
              <w:top w:w="-1" w:type="dxa"/>
              <w:left w:w="-1" w:type="dxa"/>
              <w:bottom w:w="-1" w:type="dxa"/>
              <w:right w:w="-1" w:type="dxa"/>
            </w:tcMar>
            <w:vAlign w:val="center"/>
          </w:tcPr>
          <w:p w14:paraId="51EF7EF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52</w:t>
            </w:r>
          </w:p>
        </w:tc>
        <w:tc>
          <w:tcPr>
            <w:tcW w:w="1420" w:type="dxa"/>
            <w:tcBorders>
              <w:top w:val="nil"/>
              <w:left w:val="nil"/>
              <w:bottom w:val="nil"/>
              <w:right w:val="nil"/>
            </w:tcBorders>
            <w:shd w:val="clear" w:color="auto" w:fill="auto"/>
            <w:noWrap w:val="0"/>
            <w:tcMar>
              <w:top w:w="-1" w:type="dxa"/>
              <w:left w:w="-1" w:type="dxa"/>
              <w:bottom w:w="-1" w:type="dxa"/>
              <w:right w:w="-1" w:type="dxa"/>
            </w:tcMar>
            <w:vAlign w:val="center"/>
          </w:tcPr>
          <w:p w14:paraId="2D35CBE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705" w:type="dxa"/>
            <w:tcBorders>
              <w:top w:val="nil"/>
              <w:left w:val="nil"/>
              <w:bottom w:val="nil"/>
              <w:right w:val="nil"/>
            </w:tcBorders>
            <w:shd w:val="clear" w:color="auto" w:fill="auto"/>
            <w:noWrap w:val="0"/>
            <w:tcMar>
              <w:top w:w="-1" w:type="dxa"/>
              <w:left w:w="-1" w:type="dxa"/>
              <w:bottom w:w="-1" w:type="dxa"/>
              <w:right w:w="-1" w:type="dxa"/>
            </w:tcMar>
            <w:vAlign w:val="center"/>
          </w:tcPr>
          <w:p w14:paraId="334929A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0.0545</w:t>
            </w:r>
          </w:p>
        </w:tc>
        <w:tc>
          <w:tcPr>
            <w:tcW w:w="1705" w:type="dxa"/>
            <w:tcBorders>
              <w:top w:val="nil"/>
              <w:left w:val="nil"/>
              <w:bottom w:val="nil"/>
              <w:right w:val="nil"/>
            </w:tcBorders>
            <w:shd w:val="clear" w:color="auto" w:fill="auto"/>
            <w:noWrap w:val="0"/>
            <w:tcMar>
              <w:top w:w="-1" w:type="dxa"/>
              <w:left w:w="-1" w:type="dxa"/>
              <w:bottom w:w="-1" w:type="dxa"/>
              <w:right w:w="-1" w:type="dxa"/>
            </w:tcMar>
            <w:vAlign w:val="center"/>
          </w:tcPr>
          <w:p w14:paraId="16F2D15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421" w:type="dxa"/>
            <w:tcBorders>
              <w:top w:val="nil"/>
              <w:left w:val="nil"/>
              <w:bottom w:val="nil"/>
              <w:right w:val="nil"/>
            </w:tcBorders>
            <w:shd w:val="clear" w:color="auto" w:fill="auto"/>
            <w:noWrap w:val="0"/>
            <w:tcMar>
              <w:top w:w="-1" w:type="dxa"/>
              <w:left w:w="-1" w:type="dxa"/>
              <w:bottom w:w="-1" w:type="dxa"/>
              <w:right w:w="-1" w:type="dxa"/>
            </w:tcMar>
            <w:vAlign w:val="center"/>
          </w:tcPr>
          <w:p w14:paraId="58231C7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w:t>
            </w:r>
          </w:p>
        </w:tc>
      </w:tr>
      <w:tr w14:paraId="34A57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shd w:val="clear" w:color="auto" w:fill="auto"/>
            <w:noWrap w:val="0"/>
            <w:tcMar>
              <w:top w:w="-1" w:type="dxa"/>
              <w:left w:w="-1" w:type="dxa"/>
              <w:bottom w:w="-1" w:type="dxa"/>
              <w:right w:w="-1" w:type="dxa"/>
            </w:tcMar>
            <w:vAlign w:val="center"/>
          </w:tcPr>
          <w:p w14:paraId="3FD9413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安装服务</w:t>
            </w:r>
          </w:p>
        </w:tc>
        <w:tc>
          <w:tcPr>
            <w:tcW w:w="851" w:type="dxa"/>
            <w:tcBorders>
              <w:top w:val="nil"/>
              <w:left w:val="nil"/>
              <w:bottom w:val="nil"/>
              <w:right w:val="nil"/>
            </w:tcBorders>
            <w:shd w:val="clear" w:color="auto" w:fill="auto"/>
            <w:noWrap w:val="0"/>
            <w:tcMar>
              <w:top w:w="-1" w:type="dxa"/>
              <w:left w:w="-1" w:type="dxa"/>
              <w:bottom w:w="-1" w:type="dxa"/>
              <w:right w:w="-1" w:type="dxa"/>
            </w:tcMar>
            <w:vAlign w:val="center"/>
          </w:tcPr>
          <w:p w14:paraId="4331BBF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40</w:t>
            </w:r>
          </w:p>
        </w:tc>
        <w:tc>
          <w:tcPr>
            <w:tcW w:w="1420" w:type="dxa"/>
            <w:tcBorders>
              <w:top w:val="nil"/>
              <w:left w:val="nil"/>
              <w:bottom w:val="nil"/>
              <w:right w:val="nil"/>
            </w:tcBorders>
            <w:shd w:val="clear" w:color="auto" w:fill="auto"/>
            <w:noWrap w:val="0"/>
            <w:tcMar>
              <w:top w:w="-1" w:type="dxa"/>
              <w:left w:w="-1" w:type="dxa"/>
              <w:bottom w:w="-1" w:type="dxa"/>
              <w:right w:w="-1" w:type="dxa"/>
            </w:tcMar>
            <w:vAlign w:val="center"/>
          </w:tcPr>
          <w:p w14:paraId="1875E69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705" w:type="dxa"/>
            <w:tcBorders>
              <w:top w:val="nil"/>
              <w:left w:val="nil"/>
              <w:bottom w:val="nil"/>
              <w:right w:val="nil"/>
            </w:tcBorders>
            <w:shd w:val="clear" w:color="auto" w:fill="auto"/>
            <w:noWrap w:val="0"/>
            <w:tcMar>
              <w:top w:w="-1" w:type="dxa"/>
              <w:left w:w="-1" w:type="dxa"/>
              <w:bottom w:w="-1" w:type="dxa"/>
              <w:right w:w="-1" w:type="dxa"/>
            </w:tcMar>
            <w:vAlign w:val="center"/>
          </w:tcPr>
          <w:p w14:paraId="1BF6C3E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0.1455</w:t>
            </w:r>
          </w:p>
        </w:tc>
        <w:tc>
          <w:tcPr>
            <w:tcW w:w="1705" w:type="dxa"/>
            <w:tcBorders>
              <w:top w:val="nil"/>
              <w:left w:val="nil"/>
              <w:bottom w:val="nil"/>
              <w:right w:val="nil"/>
            </w:tcBorders>
            <w:shd w:val="clear" w:color="auto" w:fill="auto"/>
            <w:noWrap w:val="0"/>
            <w:tcMar>
              <w:top w:w="-1" w:type="dxa"/>
              <w:left w:w="-1" w:type="dxa"/>
              <w:bottom w:w="-1" w:type="dxa"/>
              <w:right w:w="-1" w:type="dxa"/>
            </w:tcMar>
            <w:vAlign w:val="center"/>
          </w:tcPr>
          <w:p w14:paraId="4C6A1F9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421" w:type="dxa"/>
            <w:tcBorders>
              <w:top w:val="nil"/>
              <w:left w:val="nil"/>
              <w:bottom w:val="nil"/>
              <w:right w:val="nil"/>
            </w:tcBorders>
            <w:shd w:val="clear" w:color="auto" w:fill="auto"/>
            <w:noWrap w:val="0"/>
            <w:tcMar>
              <w:top w:w="-1" w:type="dxa"/>
              <w:left w:w="-1" w:type="dxa"/>
              <w:bottom w:w="-1" w:type="dxa"/>
              <w:right w:w="-1" w:type="dxa"/>
            </w:tcMar>
            <w:vAlign w:val="center"/>
          </w:tcPr>
          <w:p w14:paraId="32AFBA1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r>
      <w:tr w14:paraId="5F1D5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1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950422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结实</w:t>
            </w:r>
          </w:p>
        </w:tc>
        <w:tc>
          <w:tcPr>
            <w:tcW w:w="85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18E1E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16</w:t>
            </w:r>
          </w:p>
        </w:tc>
        <w:tc>
          <w:tcPr>
            <w:tcW w:w="142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2A0774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0.5455</w:t>
            </w:r>
          </w:p>
        </w:tc>
        <w:tc>
          <w:tcPr>
            <w:tcW w:w="170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7866E1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0.2727</w:t>
            </w:r>
          </w:p>
        </w:tc>
        <w:tc>
          <w:tcPr>
            <w:tcW w:w="170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A9077E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0.6875</w:t>
            </w:r>
          </w:p>
        </w:tc>
        <w:tc>
          <w:tcPr>
            <w:tcW w:w="142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2F1F87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w:t>
            </w:r>
          </w:p>
        </w:tc>
      </w:tr>
    </w:tbl>
    <w:p w14:paraId="62304358">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续</w:t>
      </w:r>
      <w:r>
        <w:rPr>
          <w:rFonts w:hint="default" w:ascii="Times New Roman" w:hAnsi="Times New Roman" w:cs="Times New Roman"/>
          <w:sz w:val="24"/>
          <w:szCs w:val="24"/>
          <w:lang w:val="en-US" w:eastAsia="zh-CN"/>
        </w:rPr>
        <w:t>表6-2 产品需求语义网络核心节点中心性指标</w:t>
      </w:r>
    </w:p>
    <w:tbl>
      <w:tblPr>
        <w:tblStyle w:val="2"/>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16"/>
        <w:gridCol w:w="851"/>
        <w:gridCol w:w="1420"/>
        <w:gridCol w:w="1705"/>
        <w:gridCol w:w="1705"/>
        <w:gridCol w:w="1422"/>
      </w:tblGrid>
      <w:tr w14:paraId="048D4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16"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0342C404">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词语</w:t>
            </w:r>
          </w:p>
        </w:tc>
        <w:tc>
          <w:tcPr>
            <w:tcW w:w="851"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3BE0CF9B">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词频</w:t>
            </w:r>
          </w:p>
        </w:tc>
        <w:tc>
          <w:tcPr>
            <w:tcW w:w="1420"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0D38C0E9">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度中心性</w:t>
            </w:r>
          </w:p>
        </w:tc>
        <w:tc>
          <w:tcPr>
            <w:tcW w:w="1705"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2DFCAA5E">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中介中心性</w:t>
            </w:r>
          </w:p>
        </w:tc>
        <w:tc>
          <w:tcPr>
            <w:tcW w:w="1705"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0E6A1CC8">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接近中心性</w:t>
            </w:r>
          </w:p>
        </w:tc>
        <w:tc>
          <w:tcPr>
            <w:tcW w:w="1421"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2BE433A1">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所属社区</w:t>
            </w:r>
          </w:p>
        </w:tc>
      </w:tr>
      <w:tr w14:paraId="15C85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1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FB13DB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装得</w:t>
            </w:r>
          </w:p>
        </w:tc>
        <w:tc>
          <w:tcPr>
            <w:tcW w:w="85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A1BB9B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10</w:t>
            </w:r>
          </w:p>
        </w:tc>
        <w:tc>
          <w:tcPr>
            <w:tcW w:w="142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20FE2D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0.5455</w:t>
            </w:r>
          </w:p>
        </w:tc>
        <w:tc>
          <w:tcPr>
            <w:tcW w:w="170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81544C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70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35FFFA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0.6875</w:t>
            </w:r>
          </w:p>
        </w:tc>
        <w:tc>
          <w:tcPr>
            <w:tcW w:w="142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008EDE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w:t>
            </w:r>
          </w:p>
        </w:tc>
      </w:tr>
      <w:tr w14:paraId="46033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shd w:val="clear" w:color="auto" w:fill="auto"/>
            <w:noWrap w:val="0"/>
            <w:tcMar>
              <w:top w:w="-1" w:type="dxa"/>
              <w:left w:w="-1" w:type="dxa"/>
              <w:bottom w:w="-1" w:type="dxa"/>
              <w:right w:w="-1" w:type="dxa"/>
            </w:tcMar>
            <w:vAlign w:val="center"/>
          </w:tcPr>
          <w:p w14:paraId="3A9D3DE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价格</w:t>
            </w:r>
          </w:p>
        </w:tc>
        <w:tc>
          <w:tcPr>
            <w:tcW w:w="851" w:type="dxa"/>
            <w:tcBorders>
              <w:top w:val="nil"/>
              <w:left w:val="nil"/>
              <w:bottom w:val="nil"/>
              <w:right w:val="nil"/>
            </w:tcBorders>
            <w:shd w:val="clear" w:color="auto" w:fill="auto"/>
            <w:noWrap w:val="0"/>
            <w:tcMar>
              <w:top w:w="-1" w:type="dxa"/>
              <w:left w:w="-1" w:type="dxa"/>
              <w:bottom w:w="-1" w:type="dxa"/>
              <w:right w:w="-1" w:type="dxa"/>
            </w:tcMar>
            <w:vAlign w:val="center"/>
          </w:tcPr>
          <w:p w14:paraId="46F65B0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21</w:t>
            </w:r>
          </w:p>
        </w:tc>
        <w:tc>
          <w:tcPr>
            <w:tcW w:w="1420" w:type="dxa"/>
            <w:tcBorders>
              <w:top w:val="nil"/>
              <w:left w:val="nil"/>
              <w:bottom w:val="nil"/>
              <w:right w:val="nil"/>
            </w:tcBorders>
            <w:shd w:val="clear" w:color="auto" w:fill="auto"/>
            <w:noWrap w:val="0"/>
            <w:tcMar>
              <w:top w:w="-1" w:type="dxa"/>
              <w:left w:w="-1" w:type="dxa"/>
              <w:bottom w:w="-1" w:type="dxa"/>
              <w:right w:w="-1" w:type="dxa"/>
            </w:tcMar>
            <w:vAlign w:val="center"/>
          </w:tcPr>
          <w:p w14:paraId="78BCAB3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0.5455</w:t>
            </w:r>
          </w:p>
        </w:tc>
        <w:tc>
          <w:tcPr>
            <w:tcW w:w="1705" w:type="dxa"/>
            <w:tcBorders>
              <w:top w:val="nil"/>
              <w:left w:val="nil"/>
              <w:bottom w:val="nil"/>
              <w:right w:val="nil"/>
            </w:tcBorders>
            <w:shd w:val="clear" w:color="auto" w:fill="auto"/>
            <w:noWrap w:val="0"/>
            <w:tcMar>
              <w:top w:w="-1" w:type="dxa"/>
              <w:left w:w="-1" w:type="dxa"/>
              <w:bottom w:w="-1" w:type="dxa"/>
              <w:right w:w="-1" w:type="dxa"/>
            </w:tcMar>
            <w:vAlign w:val="center"/>
          </w:tcPr>
          <w:p w14:paraId="5C95FCD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705" w:type="dxa"/>
            <w:tcBorders>
              <w:top w:val="nil"/>
              <w:left w:val="nil"/>
              <w:bottom w:val="nil"/>
              <w:right w:val="nil"/>
            </w:tcBorders>
            <w:shd w:val="clear" w:color="auto" w:fill="auto"/>
            <w:noWrap w:val="0"/>
            <w:tcMar>
              <w:top w:w="-1" w:type="dxa"/>
              <w:left w:w="-1" w:type="dxa"/>
              <w:bottom w:w="-1" w:type="dxa"/>
              <w:right w:w="-1" w:type="dxa"/>
            </w:tcMar>
            <w:vAlign w:val="center"/>
          </w:tcPr>
          <w:p w14:paraId="46F74A3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0.6875</w:t>
            </w:r>
          </w:p>
        </w:tc>
        <w:tc>
          <w:tcPr>
            <w:tcW w:w="1421" w:type="dxa"/>
            <w:tcBorders>
              <w:top w:val="nil"/>
              <w:left w:val="nil"/>
              <w:bottom w:val="nil"/>
              <w:right w:val="nil"/>
            </w:tcBorders>
            <w:shd w:val="clear" w:color="auto" w:fill="auto"/>
            <w:noWrap w:val="0"/>
            <w:tcMar>
              <w:top w:w="-1" w:type="dxa"/>
              <w:left w:w="-1" w:type="dxa"/>
              <w:bottom w:w="-1" w:type="dxa"/>
              <w:right w:w="-1" w:type="dxa"/>
            </w:tcMar>
            <w:vAlign w:val="center"/>
          </w:tcPr>
          <w:p w14:paraId="7ED37D3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w:t>
            </w:r>
          </w:p>
        </w:tc>
      </w:tr>
      <w:tr w14:paraId="19898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shd w:val="clear" w:color="auto" w:fill="auto"/>
            <w:noWrap w:val="0"/>
            <w:tcMar>
              <w:top w:w="-1" w:type="dxa"/>
              <w:left w:w="-1" w:type="dxa"/>
              <w:bottom w:w="-1" w:type="dxa"/>
              <w:right w:w="-1" w:type="dxa"/>
            </w:tcMar>
            <w:vAlign w:val="center"/>
          </w:tcPr>
          <w:p w14:paraId="020ED34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方面</w:t>
            </w:r>
          </w:p>
        </w:tc>
        <w:tc>
          <w:tcPr>
            <w:tcW w:w="851" w:type="dxa"/>
            <w:tcBorders>
              <w:top w:val="nil"/>
              <w:left w:val="nil"/>
              <w:bottom w:val="nil"/>
              <w:right w:val="nil"/>
            </w:tcBorders>
            <w:shd w:val="clear" w:color="auto" w:fill="auto"/>
            <w:noWrap w:val="0"/>
            <w:tcMar>
              <w:top w:w="-1" w:type="dxa"/>
              <w:left w:w="-1" w:type="dxa"/>
              <w:bottom w:w="-1" w:type="dxa"/>
              <w:right w:w="-1" w:type="dxa"/>
            </w:tcMar>
            <w:vAlign w:val="center"/>
          </w:tcPr>
          <w:p w14:paraId="4F52483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10</w:t>
            </w:r>
          </w:p>
        </w:tc>
        <w:tc>
          <w:tcPr>
            <w:tcW w:w="1420" w:type="dxa"/>
            <w:tcBorders>
              <w:top w:val="nil"/>
              <w:left w:val="nil"/>
              <w:bottom w:val="nil"/>
              <w:right w:val="nil"/>
            </w:tcBorders>
            <w:shd w:val="clear" w:color="auto" w:fill="auto"/>
            <w:noWrap w:val="0"/>
            <w:tcMar>
              <w:top w:w="-1" w:type="dxa"/>
              <w:left w:w="-1" w:type="dxa"/>
              <w:bottom w:w="-1" w:type="dxa"/>
              <w:right w:w="-1" w:type="dxa"/>
            </w:tcMar>
            <w:vAlign w:val="center"/>
          </w:tcPr>
          <w:p w14:paraId="772EC50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0.4545</w:t>
            </w:r>
          </w:p>
        </w:tc>
        <w:tc>
          <w:tcPr>
            <w:tcW w:w="1705" w:type="dxa"/>
            <w:tcBorders>
              <w:top w:val="nil"/>
              <w:left w:val="nil"/>
              <w:bottom w:val="nil"/>
              <w:right w:val="nil"/>
            </w:tcBorders>
            <w:shd w:val="clear" w:color="auto" w:fill="auto"/>
            <w:noWrap w:val="0"/>
            <w:tcMar>
              <w:top w:w="-1" w:type="dxa"/>
              <w:left w:w="-1" w:type="dxa"/>
              <w:bottom w:w="-1" w:type="dxa"/>
              <w:right w:w="-1" w:type="dxa"/>
            </w:tcMar>
            <w:vAlign w:val="center"/>
          </w:tcPr>
          <w:p w14:paraId="68E675F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705" w:type="dxa"/>
            <w:tcBorders>
              <w:top w:val="nil"/>
              <w:left w:val="nil"/>
              <w:bottom w:val="nil"/>
              <w:right w:val="nil"/>
            </w:tcBorders>
            <w:shd w:val="clear" w:color="auto" w:fill="auto"/>
            <w:noWrap w:val="0"/>
            <w:tcMar>
              <w:top w:w="-1" w:type="dxa"/>
              <w:left w:w="-1" w:type="dxa"/>
              <w:bottom w:w="-1" w:type="dxa"/>
              <w:right w:w="-1" w:type="dxa"/>
            </w:tcMar>
            <w:vAlign w:val="center"/>
          </w:tcPr>
          <w:p w14:paraId="213E996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0.6471</w:t>
            </w:r>
          </w:p>
        </w:tc>
        <w:tc>
          <w:tcPr>
            <w:tcW w:w="1421" w:type="dxa"/>
            <w:tcBorders>
              <w:top w:val="nil"/>
              <w:left w:val="nil"/>
              <w:bottom w:val="nil"/>
              <w:right w:val="nil"/>
            </w:tcBorders>
            <w:shd w:val="clear" w:color="auto" w:fill="auto"/>
            <w:noWrap w:val="0"/>
            <w:tcMar>
              <w:top w:w="-1" w:type="dxa"/>
              <w:left w:w="-1" w:type="dxa"/>
              <w:bottom w:w="-1" w:type="dxa"/>
              <w:right w:w="-1" w:type="dxa"/>
            </w:tcMar>
            <w:vAlign w:val="center"/>
          </w:tcPr>
          <w:p w14:paraId="56DF46B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r>
      <w:tr w14:paraId="75D3F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shd w:val="clear" w:color="auto" w:fill="auto"/>
            <w:noWrap w:val="0"/>
            <w:tcMar>
              <w:top w:w="-1" w:type="dxa"/>
              <w:left w:w="-1" w:type="dxa"/>
              <w:bottom w:w="-1" w:type="dxa"/>
              <w:right w:w="-1" w:type="dxa"/>
            </w:tcMar>
            <w:vAlign w:val="center"/>
          </w:tcPr>
          <w:p w14:paraId="5B15733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产品设计</w:t>
            </w:r>
          </w:p>
        </w:tc>
        <w:tc>
          <w:tcPr>
            <w:tcW w:w="851" w:type="dxa"/>
            <w:tcBorders>
              <w:top w:val="nil"/>
              <w:left w:val="nil"/>
              <w:bottom w:val="nil"/>
              <w:right w:val="nil"/>
            </w:tcBorders>
            <w:shd w:val="clear" w:color="auto" w:fill="auto"/>
            <w:noWrap w:val="0"/>
            <w:tcMar>
              <w:top w:w="-1" w:type="dxa"/>
              <w:left w:w="-1" w:type="dxa"/>
              <w:bottom w:w="-1" w:type="dxa"/>
              <w:right w:w="-1" w:type="dxa"/>
            </w:tcMar>
            <w:vAlign w:val="center"/>
          </w:tcPr>
          <w:p w14:paraId="51CEF1C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14</w:t>
            </w:r>
          </w:p>
        </w:tc>
        <w:tc>
          <w:tcPr>
            <w:tcW w:w="1420" w:type="dxa"/>
            <w:tcBorders>
              <w:top w:val="nil"/>
              <w:left w:val="nil"/>
              <w:bottom w:val="nil"/>
              <w:right w:val="nil"/>
            </w:tcBorders>
            <w:shd w:val="clear" w:color="auto" w:fill="auto"/>
            <w:noWrap w:val="0"/>
            <w:tcMar>
              <w:top w:w="-1" w:type="dxa"/>
              <w:left w:w="-1" w:type="dxa"/>
              <w:bottom w:w="-1" w:type="dxa"/>
              <w:right w:w="-1" w:type="dxa"/>
            </w:tcMar>
            <w:vAlign w:val="center"/>
          </w:tcPr>
          <w:p w14:paraId="1C344CA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0.4545</w:t>
            </w:r>
          </w:p>
        </w:tc>
        <w:tc>
          <w:tcPr>
            <w:tcW w:w="1705" w:type="dxa"/>
            <w:tcBorders>
              <w:top w:val="nil"/>
              <w:left w:val="nil"/>
              <w:bottom w:val="nil"/>
              <w:right w:val="nil"/>
            </w:tcBorders>
            <w:shd w:val="clear" w:color="auto" w:fill="auto"/>
            <w:noWrap w:val="0"/>
            <w:tcMar>
              <w:top w:w="-1" w:type="dxa"/>
              <w:left w:w="-1" w:type="dxa"/>
              <w:bottom w:w="-1" w:type="dxa"/>
              <w:right w:w="-1" w:type="dxa"/>
            </w:tcMar>
            <w:vAlign w:val="center"/>
          </w:tcPr>
          <w:p w14:paraId="345498B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705" w:type="dxa"/>
            <w:tcBorders>
              <w:top w:val="nil"/>
              <w:left w:val="nil"/>
              <w:bottom w:val="nil"/>
              <w:right w:val="nil"/>
            </w:tcBorders>
            <w:shd w:val="clear" w:color="auto" w:fill="auto"/>
            <w:noWrap w:val="0"/>
            <w:tcMar>
              <w:top w:w="-1" w:type="dxa"/>
              <w:left w:w="-1" w:type="dxa"/>
              <w:bottom w:w="-1" w:type="dxa"/>
              <w:right w:w="-1" w:type="dxa"/>
            </w:tcMar>
            <w:vAlign w:val="center"/>
          </w:tcPr>
          <w:p w14:paraId="2F3F1F9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0.6471</w:t>
            </w:r>
          </w:p>
        </w:tc>
        <w:tc>
          <w:tcPr>
            <w:tcW w:w="1421" w:type="dxa"/>
            <w:tcBorders>
              <w:top w:val="nil"/>
              <w:left w:val="nil"/>
              <w:bottom w:val="nil"/>
              <w:right w:val="nil"/>
            </w:tcBorders>
            <w:shd w:val="clear" w:color="auto" w:fill="auto"/>
            <w:noWrap w:val="0"/>
            <w:tcMar>
              <w:top w:w="-1" w:type="dxa"/>
              <w:left w:w="-1" w:type="dxa"/>
              <w:bottom w:w="-1" w:type="dxa"/>
              <w:right w:w="-1" w:type="dxa"/>
            </w:tcMar>
            <w:vAlign w:val="center"/>
          </w:tcPr>
          <w:p w14:paraId="2072F13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w:t>
            </w:r>
          </w:p>
        </w:tc>
      </w:tr>
      <w:tr w14:paraId="03FCF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shd w:val="clear" w:color="auto" w:fill="auto"/>
            <w:noWrap w:val="0"/>
            <w:tcMar>
              <w:top w:w="-1" w:type="dxa"/>
              <w:left w:w="-1" w:type="dxa"/>
              <w:bottom w:w="-1" w:type="dxa"/>
              <w:right w:w="-1" w:type="dxa"/>
            </w:tcMar>
            <w:vAlign w:val="center"/>
          </w:tcPr>
          <w:p w14:paraId="1F031A5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网上</w:t>
            </w:r>
          </w:p>
        </w:tc>
        <w:tc>
          <w:tcPr>
            <w:tcW w:w="851" w:type="dxa"/>
            <w:tcBorders>
              <w:top w:val="nil"/>
              <w:left w:val="nil"/>
              <w:bottom w:val="nil"/>
              <w:right w:val="nil"/>
            </w:tcBorders>
            <w:shd w:val="clear" w:color="auto" w:fill="auto"/>
            <w:noWrap w:val="0"/>
            <w:tcMar>
              <w:top w:w="-1" w:type="dxa"/>
              <w:left w:w="-1" w:type="dxa"/>
              <w:bottom w:w="-1" w:type="dxa"/>
              <w:right w:w="-1" w:type="dxa"/>
            </w:tcMar>
            <w:vAlign w:val="center"/>
          </w:tcPr>
          <w:p w14:paraId="0D3F8EC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26</w:t>
            </w:r>
          </w:p>
        </w:tc>
        <w:tc>
          <w:tcPr>
            <w:tcW w:w="1420" w:type="dxa"/>
            <w:tcBorders>
              <w:top w:val="nil"/>
              <w:left w:val="nil"/>
              <w:bottom w:val="nil"/>
              <w:right w:val="nil"/>
            </w:tcBorders>
            <w:shd w:val="clear" w:color="auto" w:fill="auto"/>
            <w:noWrap w:val="0"/>
            <w:tcMar>
              <w:top w:w="-1" w:type="dxa"/>
              <w:left w:w="-1" w:type="dxa"/>
              <w:bottom w:w="-1" w:type="dxa"/>
              <w:right w:w="-1" w:type="dxa"/>
            </w:tcMar>
            <w:vAlign w:val="center"/>
          </w:tcPr>
          <w:p w14:paraId="7261CE2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0.3636</w:t>
            </w:r>
          </w:p>
        </w:tc>
        <w:tc>
          <w:tcPr>
            <w:tcW w:w="1705" w:type="dxa"/>
            <w:tcBorders>
              <w:top w:val="nil"/>
              <w:left w:val="nil"/>
              <w:bottom w:val="nil"/>
              <w:right w:val="nil"/>
            </w:tcBorders>
            <w:shd w:val="clear" w:color="auto" w:fill="auto"/>
            <w:noWrap w:val="0"/>
            <w:tcMar>
              <w:top w:w="-1" w:type="dxa"/>
              <w:left w:w="-1" w:type="dxa"/>
              <w:bottom w:w="-1" w:type="dxa"/>
              <w:right w:w="-1" w:type="dxa"/>
            </w:tcMar>
            <w:vAlign w:val="center"/>
          </w:tcPr>
          <w:p w14:paraId="61263CB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705" w:type="dxa"/>
            <w:tcBorders>
              <w:top w:val="nil"/>
              <w:left w:val="nil"/>
              <w:bottom w:val="nil"/>
              <w:right w:val="nil"/>
            </w:tcBorders>
            <w:shd w:val="clear" w:color="auto" w:fill="auto"/>
            <w:noWrap w:val="0"/>
            <w:tcMar>
              <w:top w:w="-1" w:type="dxa"/>
              <w:left w:w="-1" w:type="dxa"/>
              <w:bottom w:w="-1" w:type="dxa"/>
              <w:right w:w="-1" w:type="dxa"/>
            </w:tcMar>
            <w:vAlign w:val="center"/>
          </w:tcPr>
          <w:p w14:paraId="44C3659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0.6111</w:t>
            </w:r>
          </w:p>
        </w:tc>
        <w:tc>
          <w:tcPr>
            <w:tcW w:w="1421" w:type="dxa"/>
            <w:tcBorders>
              <w:top w:val="nil"/>
              <w:left w:val="nil"/>
              <w:bottom w:val="nil"/>
              <w:right w:val="nil"/>
            </w:tcBorders>
            <w:shd w:val="clear" w:color="auto" w:fill="auto"/>
            <w:noWrap w:val="0"/>
            <w:tcMar>
              <w:top w:w="-1" w:type="dxa"/>
              <w:left w:w="-1" w:type="dxa"/>
              <w:bottom w:w="-1" w:type="dxa"/>
              <w:right w:w="-1" w:type="dxa"/>
            </w:tcMar>
            <w:vAlign w:val="center"/>
          </w:tcPr>
          <w:p w14:paraId="5C99BD8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w:t>
            </w:r>
          </w:p>
        </w:tc>
      </w:tr>
      <w:tr w14:paraId="70946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shd w:val="clear" w:color="auto" w:fill="auto"/>
            <w:noWrap w:val="0"/>
            <w:tcMar>
              <w:top w:w="-1" w:type="dxa"/>
              <w:left w:w="-1" w:type="dxa"/>
              <w:bottom w:w="-1" w:type="dxa"/>
              <w:right w:w="-1" w:type="dxa"/>
            </w:tcMar>
            <w:vAlign w:val="center"/>
          </w:tcPr>
          <w:p w14:paraId="02940DC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安全</w:t>
            </w:r>
          </w:p>
        </w:tc>
        <w:tc>
          <w:tcPr>
            <w:tcW w:w="851" w:type="dxa"/>
            <w:tcBorders>
              <w:top w:val="nil"/>
              <w:left w:val="nil"/>
              <w:bottom w:val="nil"/>
              <w:right w:val="nil"/>
            </w:tcBorders>
            <w:shd w:val="clear" w:color="auto" w:fill="auto"/>
            <w:noWrap w:val="0"/>
            <w:tcMar>
              <w:top w:w="-1" w:type="dxa"/>
              <w:left w:w="-1" w:type="dxa"/>
              <w:bottom w:w="-1" w:type="dxa"/>
              <w:right w:w="-1" w:type="dxa"/>
            </w:tcMar>
            <w:vAlign w:val="center"/>
          </w:tcPr>
          <w:p w14:paraId="7B1883C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21</w:t>
            </w:r>
          </w:p>
        </w:tc>
        <w:tc>
          <w:tcPr>
            <w:tcW w:w="1420" w:type="dxa"/>
            <w:tcBorders>
              <w:top w:val="nil"/>
              <w:left w:val="nil"/>
              <w:bottom w:val="nil"/>
              <w:right w:val="nil"/>
            </w:tcBorders>
            <w:shd w:val="clear" w:color="auto" w:fill="auto"/>
            <w:noWrap w:val="0"/>
            <w:tcMar>
              <w:top w:w="-1" w:type="dxa"/>
              <w:left w:w="-1" w:type="dxa"/>
              <w:bottom w:w="-1" w:type="dxa"/>
              <w:right w:w="-1" w:type="dxa"/>
            </w:tcMar>
            <w:vAlign w:val="center"/>
          </w:tcPr>
          <w:p w14:paraId="75A9C32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0.3636</w:t>
            </w:r>
          </w:p>
        </w:tc>
        <w:tc>
          <w:tcPr>
            <w:tcW w:w="1705" w:type="dxa"/>
            <w:tcBorders>
              <w:top w:val="nil"/>
              <w:left w:val="nil"/>
              <w:bottom w:val="nil"/>
              <w:right w:val="nil"/>
            </w:tcBorders>
            <w:shd w:val="clear" w:color="auto" w:fill="auto"/>
            <w:noWrap w:val="0"/>
            <w:tcMar>
              <w:top w:w="-1" w:type="dxa"/>
              <w:left w:w="-1" w:type="dxa"/>
              <w:bottom w:w="-1" w:type="dxa"/>
              <w:right w:w="-1" w:type="dxa"/>
            </w:tcMar>
            <w:vAlign w:val="center"/>
          </w:tcPr>
          <w:p w14:paraId="664F145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705" w:type="dxa"/>
            <w:tcBorders>
              <w:top w:val="nil"/>
              <w:left w:val="nil"/>
              <w:bottom w:val="nil"/>
              <w:right w:val="nil"/>
            </w:tcBorders>
            <w:shd w:val="clear" w:color="auto" w:fill="auto"/>
            <w:noWrap w:val="0"/>
            <w:tcMar>
              <w:top w:w="-1" w:type="dxa"/>
              <w:left w:w="-1" w:type="dxa"/>
              <w:bottom w:w="-1" w:type="dxa"/>
              <w:right w:w="-1" w:type="dxa"/>
            </w:tcMar>
            <w:vAlign w:val="center"/>
          </w:tcPr>
          <w:p w14:paraId="72F43E4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0.6111</w:t>
            </w:r>
          </w:p>
        </w:tc>
        <w:tc>
          <w:tcPr>
            <w:tcW w:w="1421" w:type="dxa"/>
            <w:tcBorders>
              <w:top w:val="nil"/>
              <w:left w:val="nil"/>
              <w:bottom w:val="nil"/>
              <w:right w:val="nil"/>
            </w:tcBorders>
            <w:shd w:val="clear" w:color="auto" w:fill="auto"/>
            <w:noWrap w:val="0"/>
            <w:tcMar>
              <w:top w:w="-1" w:type="dxa"/>
              <w:left w:w="-1" w:type="dxa"/>
              <w:bottom w:w="-1" w:type="dxa"/>
              <w:right w:w="-1" w:type="dxa"/>
            </w:tcMar>
            <w:vAlign w:val="center"/>
          </w:tcPr>
          <w:p w14:paraId="142253D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w:t>
            </w:r>
          </w:p>
        </w:tc>
      </w:tr>
      <w:tr w14:paraId="1D2A6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1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84F8E7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检查</w:t>
            </w:r>
          </w:p>
        </w:tc>
        <w:tc>
          <w:tcPr>
            <w:tcW w:w="85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B03D5A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9</w:t>
            </w:r>
          </w:p>
        </w:tc>
        <w:tc>
          <w:tcPr>
            <w:tcW w:w="142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ACA05F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0.3636</w:t>
            </w:r>
          </w:p>
        </w:tc>
        <w:tc>
          <w:tcPr>
            <w:tcW w:w="170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AAB6C5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0</w:t>
            </w:r>
          </w:p>
        </w:tc>
        <w:tc>
          <w:tcPr>
            <w:tcW w:w="170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B4D7E8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0.6111</w:t>
            </w:r>
          </w:p>
        </w:tc>
        <w:tc>
          <w:tcPr>
            <w:tcW w:w="142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1AE996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w:t>
            </w:r>
          </w:p>
        </w:tc>
      </w:tr>
    </w:tbl>
    <w:p w14:paraId="0321BCCB"/>
    <w:p w14:paraId="17E00CF6">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b/>
          <w:bCs/>
          <w:sz w:val="24"/>
          <w:szCs w:val="24"/>
          <w:lang w:val="en-US" w:eastAsia="zh-CN"/>
        </w:rPr>
      </w:pPr>
      <w:r>
        <w:rPr>
          <w:rFonts w:hint="eastAsia"/>
          <w:b/>
          <w:bCs/>
          <w:sz w:val="24"/>
          <w:szCs w:val="24"/>
          <w:lang w:val="en-US" w:eastAsia="zh-CN"/>
        </w:rPr>
        <w:t>（2）社区一：购买渠道与服务保障</w:t>
      </w:r>
    </w:p>
    <w:p w14:paraId="4D7DB55F">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社区一包含渠道、购买、安装服务、网上、安全、产品设计、方面、检查共8个节点，是两个社区中规模较大的群组。该社区的语义核心指向购买路径与服务质量两条主线：其一，网上（词频26）与渠道高频共现，说明线上购买渠道已成为老年群体获取防跌倒扶手的重要途径，但同时检查（词频9）的出现反映出受访者对网购商品真实性与质量验证的隐忧；其二，安全（词频21）与产品设计（词频14）的共现揭示出受访者对扶手本身功能属性的明确期待，认为安全性与设计合理性是产品的核心考量维度。</w:t>
      </w:r>
    </w:p>
    <w:p w14:paraId="3F894907">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b/>
          <w:bCs/>
          <w:sz w:val="24"/>
          <w:szCs w:val="24"/>
          <w:lang w:val="en-US" w:eastAsia="zh-CN"/>
        </w:rPr>
      </w:pPr>
      <w:r>
        <w:rPr>
          <w:rFonts w:hint="eastAsia"/>
          <w:b/>
          <w:bCs/>
          <w:sz w:val="24"/>
          <w:szCs w:val="24"/>
          <w:lang w:val="en-US" w:eastAsia="zh-CN"/>
        </w:rPr>
        <w:t>（3）社区二：安装质量与成本感知</w:t>
      </w:r>
    </w:p>
    <w:p w14:paraId="205684C8">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社区二包含师傅、结实、装得、价格共4个节点，词汇简洁但语义集中。师傅（词频52）为全网词频最高节点，反映受访者对安装工人技术水平与服务态度的高度关注；结实（词频16）指向对产品承重能力与使用寿命的质量诉求；价格（词频21）与装得（词频10）的共现提示受访者在意</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安装费用是否合理、扶手是否真正装得上（适配墙体结构）</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的双重成本问题。</w:t>
      </w:r>
    </w:p>
    <w:p w14:paraId="54212CAF">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b/>
          <w:bCs/>
          <w:sz w:val="24"/>
          <w:szCs w:val="24"/>
          <w:lang w:val="en-US" w:eastAsia="zh-CN"/>
        </w:rPr>
      </w:pPr>
      <w:r>
        <w:rPr>
          <w:rFonts w:hint="eastAsia"/>
          <w:b/>
          <w:bCs/>
          <w:sz w:val="24"/>
          <w:szCs w:val="24"/>
          <w:lang w:val="en-US" w:eastAsia="zh-CN"/>
        </w:rPr>
        <w:t>（4）产品需求的“买-装-用”三维框架</w:t>
      </w:r>
    </w:p>
    <w:p w14:paraId="147FB561">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黑体" w:hAnsi="黑体" w:eastAsia="黑体" w:cs="黑体"/>
          <w:sz w:val="28"/>
          <w:szCs w:val="28"/>
          <w:lang w:val="en-US" w:eastAsia="zh-CN"/>
        </w:rPr>
      </w:pPr>
      <w:r>
        <w:rPr>
          <w:rFonts w:hint="default" w:ascii="Times New Roman" w:hAnsi="Times New Roman" w:cs="Times New Roman"/>
          <w:sz w:val="24"/>
          <w:szCs w:val="24"/>
          <w:lang w:val="en-US" w:eastAsia="zh-CN"/>
        </w:rPr>
        <w:t>综合两个语义社区的分析，防跌倒扶手的产品需求可归纳为</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买得到</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装得好</w:t>
      </w:r>
      <w:r>
        <w:rPr>
          <w:rFonts w:hint="eastAsia" w:ascii="Times New Roman" w:hAnsi="Times New Roman" w:cs="Times New Roman"/>
          <w:sz w:val="24"/>
          <w:szCs w:val="24"/>
          <w:lang w:val="en-US" w:eastAsia="zh-CN"/>
        </w:rPr>
        <w:t>、用</w:t>
      </w:r>
      <w:r>
        <w:rPr>
          <w:rFonts w:hint="default" w:ascii="Times New Roman" w:hAnsi="Times New Roman" w:cs="Times New Roman"/>
          <w:sz w:val="24"/>
          <w:szCs w:val="24"/>
          <w:lang w:val="en-US" w:eastAsia="zh-CN"/>
        </w:rPr>
        <w:t>得放心</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三个递进维度：购买渠道的便利性与可信度、安装服务的专业性与价格合理性、产品本身的安全性与耐用性，三者共同构成老年群体产品需求的核心配置要素。</w:t>
      </w:r>
    </w:p>
    <w:p w14:paraId="743153C4">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三、</w:t>
      </w:r>
      <w:r>
        <w:rPr>
          <w:rFonts w:hint="default" w:ascii="黑体" w:hAnsi="黑体" w:eastAsia="黑体" w:cs="黑体"/>
          <w:sz w:val="28"/>
          <w:szCs w:val="28"/>
          <w:lang w:val="en-US" w:eastAsia="zh-CN"/>
        </w:rPr>
        <w:t>防跌倒扶手政策支持需求语义网络分析</w:t>
      </w:r>
    </w:p>
    <w:p w14:paraId="3F121E15">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default" w:ascii="Times New Roman" w:hAnsi="Times New Roman" w:cs="Times New Roman"/>
          <w:sz w:val="24"/>
          <w:szCs w:val="24"/>
          <w:lang w:val="en-US" w:eastAsia="zh-CN"/>
        </w:rPr>
      </w:pPr>
      <w:r>
        <w:rPr>
          <w:rFonts w:hint="eastAsia"/>
          <w:b/>
          <w:bCs/>
          <w:sz w:val="24"/>
          <w:szCs w:val="24"/>
          <w:lang w:val="en-US" w:eastAsia="zh-CN"/>
        </w:rPr>
        <w:t>（1）网络结构概述</w:t>
      </w:r>
    </w:p>
    <w:p w14:paraId="72679F44">
      <w:pPr>
        <w:keepNext w:val="0"/>
        <w:keepLines w:val="0"/>
        <w:pageBreakBefore w:val="0"/>
        <w:widowControl w:val="0"/>
        <w:kinsoku/>
        <w:wordWrap/>
        <w:overflowPunct/>
        <w:topLinePunct w:val="0"/>
        <w:autoSpaceDE/>
        <w:autoSpaceDN/>
        <w:bidi w:val="0"/>
        <w:adjustRightInd/>
        <w:snapToGrid/>
        <w:spacing w:before="157" w:beforeLines="50" w:line="300" w:lineRule="auto"/>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政策支持需求语义网络共包含39个节点、5个语义社区（见图</w:t>
      </w:r>
      <w:r>
        <w:rPr>
          <w:rFonts w:hint="eastAsia" w:ascii="Times New Roman" w:hAnsi="Times New Roman" w:cs="Times New Roman"/>
          <w:sz w:val="24"/>
          <w:szCs w:val="24"/>
          <w:lang w:val="en-US" w:eastAsia="zh-CN"/>
        </w:rPr>
        <w:t>6-2</w:t>
      </w:r>
      <w:r>
        <w:rPr>
          <w:rFonts w:hint="default" w:ascii="Times New Roman" w:hAnsi="Times New Roman" w:cs="Times New Roman"/>
          <w:sz w:val="24"/>
          <w:szCs w:val="24"/>
          <w:lang w:val="en-US" w:eastAsia="zh-CN"/>
        </w:rPr>
        <w:t>），网络规模与复杂度均显著高于产品需求网络，反映出受访者对政策支持层面的诉求多元而丰富。</w:t>
      </w:r>
    </w:p>
    <w:p w14:paraId="54D62BB4">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社区（词频140，度中心性0.9211，中介中心性0.5718，接近中心性0.9268）是整个网络的绝对核心节点——其度中心性接近1，意味着社区几乎与网络中所有其他词节点直接相连；其中介中心性远超其余节点，表明</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社区</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在各语义议题之间扮演着关键的信息枢纽角色。政府（词频86，度中心性0.5526，中介中心性0.1560）是第二层级的核心节点，与社区共同构成政策支持需求网络的双核心结构。</w:t>
      </w:r>
    </w:p>
    <w:p w14:paraId="68C802CE">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表6-</w:t>
      </w:r>
      <w:r>
        <w:rPr>
          <w:rFonts w:hint="eastAsia" w:ascii="Times New Roman" w:hAnsi="Times New Roman" w:cs="Times New Roman"/>
          <w:sz w:val="24"/>
          <w:szCs w:val="24"/>
          <w:lang w:val="en-US" w:eastAsia="zh-CN"/>
        </w:rPr>
        <w:t>3</w:t>
      </w:r>
      <w:r>
        <w:rPr>
          <w:rFonts w:hint="default" w:ascii="Times New Roman" w:hAnsi="Times New Roman" w:cs="Times New Roman"/>
          <w:sz w:val="24"/>
          <w:szCs w:val="24"/>
          <w:lang w:val="en-US" w:eastAsia="zh-CN"/>
        </w:rPr>
        <w:t xml:space="preserve"> 政策支持需求维度高频词汇TOP15</w:t>
      </w:r>
    </w:p>
    <w:tbl>
      <w:tblPr>
        <w:tblStyle w:val="2"/>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865"/>
        <w:gridCol w:w="3654"/>
      </w:tblGrid>
      <w:tr w14:paraId="15FCE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101A5E49">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词语</w:t>
            </w:r>
          </w:p>
        </w:tc>
        <w:tc>
          <w:tcPr>
            <w:tcW w:w="3654"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4E30AF77">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频次</w:t>
            </w:r>
          </w:p>
        </w:tc>
      </w:tr>
      <w:tr w14:paraId="0AE5B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A19C56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社区</w:t>
            </w:r>
          </w:p>
        </w:tc>
        <w:tc>
          <w:tcPr>
            <w:tcW w:w="365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02CD9E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140</w:t>
            </w:r>
          </w:p>
        </w:tc>
      </w:tr>
      <w:tr w14:paraId="25F01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403EE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政府</w:t>
            </w:r>
          </w:p>
        </w:tc>
        <w:tc>
          <w:tcPr>
            <w:tcW w:w="3654" w:type="dxa"/>
            <w:tcBorders>
              <w:top w:val="nil"/>
              <w:left w:val="nil"/>
              <w:bottom w:val="nil"/>
              <w:right w:val="nil"/>
            </w:tcBorders>
            <w:shd w:val="clear" w:color="auto" w:fill="auto"/>
            <w:noWrap w:val="0"/>
            <w:tcMar>
              <w:top w:w="-1" w:type="dxa"/>
              <w:left w:w="-1" w:type="dxa"/>
              <w:bottom w:w="-1" w:type="dxa"/>
              <w:right w:w="-1" w:type="dxa"/>
            </w:tcMar>
            <w:vAlign w:val="center"/>
          </w:tcPr>
          <w:p w14:paraId="6462923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86</w:t>
            </w:r>
          </w:p>
        </w:tc>
      </w:tr>
      <w:tr w14:paraId="02E0F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142E6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防跌倒</w:t>
            </w:r>
          </w:p>
        </w:tc>
        <w:tc>
          <w:tcPr>
            <w:tcW w:w="3654" w:type="dxa"/>
            <w:tcBorders>
              <w:top w:val="nil"/>
              <w:left w:val="nil"/>
              <w:bottom w:val="nil"/>
              <w:right w:val="nil"/>
            </w:tcBorders>
            <w:shd w:val="clear" w:color="auto" w:fill="auto"/>
            <w:noWrap w:val="0"/>
            <w:tcMar>
              <w:top w:w="-1" w:type="dxa"/>
              <w:left w:w="-1" w:type="dxa"/>
              <w:bottom w:w="-1" w:type="dxa"/>
              <w:right w:w="-1" w:type="dxa"/>
            </w:tcMar>
            <w:vAlign w:val="center"/>
          </w:tcPr>
          <w:p w14:paraId="0C768FD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72</w:t>
            </w:r>
          </w:p>
        </w:tc>
      </w:tr>
      <w:tr w14:paraId="7735A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C1203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组织</w:t>
            </w:r>
          </w:p>
        </w:tc>
        <w:tc>
          <w:tcPr>
            <w:tcW w:w="3654" w:type="dxa"/>
            <w:tcBorders>
              <w:top w:val="nil"/>
              <w:left w:val="nil"/>
              <w:bottom w:val="nil"/>
              <w:right w:val="nil"/>
            </w:tcBorders>
            <w:shd w:val="clear" w:color="auto" w:fill="auto"/>
            <w:noWrap w:val="0"/>
            <w:tcMar>
              <w:top w:w="-1" w:type="dxa"/>
              <w:left w:w="-1" w:type="dxa"/>
              <w:bottom w:w="-1" w:type="dxa"/>
              <w:right w:w="-1" w:type="dxa"/>
            </w:tcMar>
            <w:vAlign w:val="center"/>
          </w:tcPr>
          <w:p w14:paraId="1CA6AF2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29</w:t>
            </w:r>
          </w:p>
        </w:tc>
      </w:tr>
      <w:tr w14:paraId="49889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20BB2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上门</w:t>
            </w:r>
          </w:p>
        </w:tc>
        <w:tc>
          <w:tcPr>
            <w:tcW w:w="3654" w:type="dxa"/>
            <w:tcBorders>
              <w:top w:val="nil"/>
              <w:left w:val="nil"/>
              <w:bottom w:val="nil"/>
              <w:right w:val="nil"/>
            </w:tcBorders>
            <w:shd w:val="clear" w:color="auto" w:fill="auto"/>
            <w:noWrap w:val="0"/>
            <w:tcMar>
              <w:top w:w="-1" w:type="dxa"/>
              <w:left w:w="-1" w:type="dxa"/>
              <w:bottom w:w="-1" w:type="dxa"/>
              <w:right w:w="-1" w:type="dxa"/>
            </w:tcMar>
            <w:vAlign w:val="center"/>
          </w:tcPr>
          <w:p w14:paraId="66DCAFD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26</w:t>
            </w:r>
          </w:p>
        </w:tc>
      </w:tr>
      <w:tr w14:paraId="440B6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58E6C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宣传</w:t>
            </w:r>
          </w:p>
        </w:tc>
        <w:tc>
          <w:tcPr>
            <w:tcW w:w="3654" w:type="dxa"/>
            <w:tcBorders>
              <w:top w:val="nil"/>
              <w:left w:val="nil"/>
              <w:bottom w:val="nil"/>
              <w:right w:val="nil"/>
            </w:tcBorders>
            <w:shd w:val="clear" w:color="auto" w:fill="auto"/>
            <w:noWrap w:val="0"/>
            <w:tcMar>
              <w:top w:w="-1" w:type="dxa"/>
              <w:left w:w="-1" w:type="dxa"/>
              <w:bottom w:w="-1" w:type="dxa"/>
              <w:right w:w="-1" w:type="dxa"/>
            </w:tcMar>
            <w:vAlign w:val="center"/>
          </w:tcPr>
          <w:p w14:paraId="43C0993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24</w:t>
            </w:r>
          </w:p>
        </w:tc>
      </w:tr>
      <w:tr w14:paraId="3D6F2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0CA9D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补贴</w:t>
            </w:r>
          </w:p>
        </w:tc>
        <w:tc>
          <w:tcPr>
            <w:tcW w:w="3654" w:type="dxa"/>
            <w:tcBorders>
              <w:top w:val="nil"/>
              <w:left w:val="nil"/>
              <w:bottom w:val="nil"/>
              <w:right w:val="nil"/>
            </w:tcBorders>
            <w:shd w:val="clear" w:color="auto" w:fill="auto"/>
            <w:noWrap w:val="0"/>
            <w:tcMar>
              <w:top w:w="-1" w:type="dxa"/>
              <w:left w:w="-1" w:type="dxa"/>
              <w:bottom w:w="-1" w:type="dxa"/>
              <w:right w:w="-1" w:type="dxa"/>
            </w:tcMar>
            <w:vAlign w:val="center"/>
          </w:tcPr>
          <w:p w14:paraId="3D5F53D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22</w:t>
            </w:r>
          </w:p>
        </w:tc>
      </w:tr>
      <w:tr w14:paraId="727F6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C998F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小区</w:t>
            </w:r>
          </w:p>
        </w:tc>
        <w:tc>
          <w:tcPr>
            <w:tcW w:w="3654" w:type="dxa"/>
            <w:tcBorders>
              <w:top w:val="nil"/>
              <w:left w:val="nil"/>
              <w:bottom w:val="nil"/>
              <w:right w:val="nil"/>
            </w:tcBorders>
            <w:shd w:val="clear" w:color="auto" w:fill="auto"/>
            <w:noWrap w:val="0"/>
            <w:tcMar>
              <w:top w:w="-1" w:type="dxa"/>
              <w:left w:w="-1" w:type="dxa"/>
              <w:bottom w:w="-1" w:type="dxa"/>
              <w:right w:w="-1" w:type="dxa"/>
            </w:tcMar>
            <w:vAlign w:val="center"/>
          </w:tcPr>
          <w:p w14:paraId="2E35637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22</w:t>
            </w:r>
          </w:p>
        </w:tc>
      </w:tr>
      <w:tr w14:paraId="2BF5D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80A4C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安全</w:t>
            </w:r>
          </w:p>
        </w:tc>
        <w:tc>
          <w:tcPr>
            <w:tcW w:w="3654" w:type="dxa"/>
            <w:tcBorders>
              <w:top w:val="nil"/>
              <w:left w:val="nil"/>
              <w:bottom w:val="nil"/>
              <w:right w:val="nil"/>
            </w:tcBorders>
            <w:shd w:val="clear" w:color="auto" w:fill="auto"/>
            <w:noWrap w:val="0"/>
            <w:tcMar>
              <w:top w:w="-1" w:type="dxa"/>
              <w:left w:w="-1" w:type="dxa"/>
              <w:bottom w:w="-1" w:type="dxa"/>
              <w:right w:w="-1" w:type="dxa"/>
            </w:tcMar>
            <w:vAlign w:val="center"/>
          </w:tcPr>
          <w:p w14:paraId="60E52E3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22</w:t>
            </w:r>
          </w:p>
        </w:tc>
      </w:tr>
      <w:tr w14:paraId="3C385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19CBC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政策</w:t>
            </w:r>
          </w:p>
        </w:tc>
        <w:tc>
          <w:tcPr>
            <w:tcW w:w="3654" w:type="dxa"/>
            <w:tcBorders>
              <w:top w:val="nil"/>
              <w:left w:val="nil"/>
              <w:bottom w:val="nil"/>
              <w:right w:val="nil"/>
            </w:tcBorders>
            <w:shd w:val="clear" w:color="auto" w:fill="auto"/>
            <w:noWrap w:val="0"/>
            <w:tcMar>
              <w:top w:w="-1" w:type="dxa"/>
              <w:left w:w="-1" w:type="dxa"/>
              <w:bottom w:w="-1" w:type="dxa"/>
              <w:right w:w="-1" w:type="dxa"/>
            </w:tcMar>
            <w:vAlign w:val="center"/>
          </w:tcPr>
          <w:p w14:paraId="2F817B0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w:t>
            </w:r>
          </w:p>
        </w:tc>
      </w:tr>
      <w:tr w14:paraId="0E729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229BD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公共</w:t>
            </w:r>
          </w:p>
        </w:tc>
        <w:tc>
          <w:tcPr>
            <w:tcW w:w="3654" w:type="dxa"/>
            <w:tcBorders>
              <w:top w:val="nil"/>
              <w:left w:val="nil"/>
              <w:bottom w:val="nil"/>
              <w:right w:val="nil"/>
            </w:tcBorders>
            <w:shd w:val="clear" w:color="auto" w:fill="auto"/>
            <w:noWrap w:val="0"/>
            <w:tcMar>
              <w:top w:w="-1" w:type="dxa"/>
              <w:left w:w="-1" w:type="dxa"/>
              <w:bottom w:w="-1" w:type="dxa"/>
              <w:right w:w="-1" w:type="dxa"/>
            </w:tcMar>
            <w:vAlign w:val="center"/>
          </w:tcPr>
          <w:p w14:paraId="13D35C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19</w:t>
            </w:r>
          </w:p>
        </w:tc>
      </w:tr>
      <w:tr w14:paraId="01438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70575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区域</w:t>
            </w:r>
          </w:p>
        </w:tc>
        <w:tc>
          <w:tcPr>
            <w:tcW w:w="3654" w:type="dxa"/>
            <w:tcBorders>
              <w:top w:val="nil"/>
              <w:left w:val="nil"/>
              <w:bottom w:val="nil"/>
              <w:right w:val="nil"/>
            </w:tcBorders>
            <w:shd w:val="clear" w:color="auto" w:fill="auto"/>
            <w:noWrap w:val="0"/>
            <w:tcMar>
              <w:top w:w="-1" w:type="dxa"/>
              <w:left w:w="-1" w:type="dxa"/>
              <w:bottom w:w="-1" w:type="dxa"/>
              <w:right w:w="-1" w:type="dxa"/>
            </w:tcMar>
            <w:vAlign w:val="center"/>
          </w:tcPr>
          <w:p w14:paraId="6663EE2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18</w:t>
            </w:r>
          </w:p>
        </w:tc>
      </w:tr>
      <w:tr w14:paraId="337C0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51A6E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申请</w:t>
            </w:r>
          </w:p>
        </w:tc>
        <w:tc>
          <w:tcPr>
            <w:tcW w:w="3654" w:type="dxa"/>
            <w:tcBorders>
              <w:top w:val="nil"/>
              <w:left w:val="nil"/>
              <w:bottom w:val="nil"/>
              <w:right w:val="nil"/>
            </w:tcBorders>
            <w:shd w:val="clear" w:color="auto" w:fill="auto"/>
            <w:noWrap w:val="0"/>
            <w:tcMar>
              <w:top w:w="-1" w:type="dxa"/>
              <w:left w:w="-1" w:type="dxa"/>
              <w:bottom w:w="-1" w:type="dxa"/>
              <w:right w:w="-1" w:type="dxa"/>
            </w:tcMar>
            <w:vAlign w:val="center"/>
          </w:tcPr>
          <w:p w14:paraId="39B886B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18</w:t>
            </w:r>
          </w:p>
        </w:tc>
      </w:tr>
      <w:tr w14:paraId="6529D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A791E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定期</w:t>
            </w:r>
          </w:p>
        </w:tc>
        <w:tc>
          <w:tcPr>
            <w:tcW w:w="3654" w:type="dxa"/>
            <w:tcBorders>
              <w:top w:val="nil"/>
              <w:left w:val="nil"/>
              <w:bottom w:val="nil"/>
              <w:right w:val="nil"/>
            </w:tcBorders>
            <w:shd w:val="clear" w:color="auto" w:fill="auto"/>
            <w:noWrap w:val="0"/>
            <w:tcMar>
              <w:top w:w="-1" w:type="dxa"/>
              <w:left w:w="-1" w:type="dxa"/>
              <w:bottom w:w="-1" w:type="dxa"/>
              <w:right w:w="-1" w:type="dxa"/>
            </w:tcMar>
            <w:vAlign w:val="center"/>
          </w:tcPr>
          <w:p w14:paraId="7D2A952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18</w:t>
            </w:r>
          </w:p>
        </w:tc>
      </w:tr>
      <w:tr w14:paraId="57F67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486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53C3D6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负责</w:t>
            </w:r>
          </w:p>
        </w:tc>
        <w:tc>
          <w:tcPr>
            <w:tcW w:w="365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B523B8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16</w:t>
            </w:r>
          </w:p>
        </w:tc>
      </w:tr>
    </w:tbl>
    <w:p w14:paraId="2E0DE4C4">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cs="Times New Roman"/>
          <w:sz w:val="24"/>
          <w:szCs w:val="24"/>
          <w:lang w:val="en-US" w:eastAsia="zh-CN"/>
        </w:rPr>
      </w:pPr>
      <w:bookmarkStart w:id="0" w:name="_GoBack"/>
      <w:bookmarkEnd w:id="0"/>
      <w:r>
        <w:rPr>
          <w:rFonts w:hint="default" w:ascii="Times New Roman" w:hAnsi="Times New Roman" w:cs="Times New Roman"/>
          <w:sz w:val="24"/>
          <w:szCs w:val="24"/>
          <w:lang w:val="en-US" w:eastAsia="zh-CN"/>
        </w:rPr>
        <w:drawing>
          <wp:inline distT="0" distB="0" distL="114300" distR="114300">
            <wp:extent cx="4323080" cy="2938780"/>
            <wp:effectExtent l="0" t="0" r="7620" b="7620"/>
            <wp:docPr id="2" name="图片 2" descr="政策支持_语义网络_R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政策支持_语义网络_R版"/>
                    <pic:cNvPicPr>
                      <a:picLocks noChangeAspect="1"/>
                    </pic:cNvPicPr>
                  </pic:nvPicPr>
                  <pic:blipFill>
                    <a:blip r:embed="rId5"/>
                    <a:srcRect t="4837"/>
                    <a:stretch>
                      <a:fillRect/>
                    </a:stretch>
                  </pic:blipFill>
                  <pic:spPr>
                    <a:xfrm>
                      <a:off x="0" y="0"/>
                      <a:ext cx="4323080" cy="2938780"/>
                    </a:xfrm>
                    <a:prstGeom prst="rect">
                      <a:avLst/>
                    </a:prstGeom>
                  </pic:spPr>
                </pic:pic>
              </a:graphicData>
            </a:graphic>
          </wp:inline>
        </w:drawing>
      </w:r>
    </w:p>
    <w:p w14:paraId="217B4CA0">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图6-2 防跌倒扶手政策支持需求语义网络图谱</w:t>
      </w:r>
    </w:p>
    <w:p w14:paraId="20900212">
      <w:pPr>
        <w:keepNext w:val="0"/>
        <w:keepLines w:val="0"/>
        <w:pageBreakBefore w:val="0"/>
        <w:widowControl w:val="0"/>
        <w:kinsoku/>
        <w:wordWrap/>
        <w:overflowPunct/>
        <w:topLinePunct w:val="0"/>
        <w:autoSpaceDE/>
        <w:autoSpaceDN/>
        <w:bidi w:val="0"/>
        <w:adjustRightInd/>
        <w:snapToGrid/>
        <w:spacing w:before="157" w:beforeLines="50" w:line="300" w:lineRule="auto"/>
        <w:jc w:val="left"/>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注：该图基于437条有效开放性文本（老年人问卷248条＋子女问卷189条），经jieba中文分词、共现矩阵构建及贪心模块度最大化（Greedy Modularity）算法社区发现所得。</w:t>
      </w:r>
    </w:p>
    <w:p w14:paraId="325E9FC2">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表6-</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 xml:space="preserve"> 政策支持需求语义网络核心节点中心性指标</w:t>
      </w:r>
    </w:p>
    <w:tbl>
      <w:tblPr>
        <w:tblStyle w:val="2"/>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9"/>
        <w:gridCol w:w="878"/>
        <w:gridCol w:w="1470"/>
        <w:gridCol w:w="1765"/>
        <w:gridCol w:w="1765"/>
        <w:gridCol w:w="1472"/>
      </w:tblGrid>
      <w:tr w14:paraId="487F0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767E1584">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词语</w:t>
            </w:r>
          </w:p>
        </w:tc>
        <w:tc>
          <w:tcPr>
            <w:tcW w:w="0" w:type="auto"/>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5FC9103E">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词频</w:t>
            </w:r>
          </w:p>
        </w:tc>
        <w:tc>
          <w:tcPr>
            <w:tcW w:w="0" w:type="auto"/>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643EAB83">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度中心性</w:t>
            </w:r>
          </w:p>
        </w:tc>
        <w:tc>
          <w:tcPr>
            <w:tcW w:w="0" w:type="auto"/>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52A83FB4">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中介中心性</w:t>
            </w:r>
          </w:p>
        </w:tc>
        <w:tc>
          <w:tcPr>
            <w:tcW w:w="0" w:type="auto"/>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182D8AF6">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接近中心性</w:t>
            </w:r>
          </w:p>
        </w:tc>
        <w:tc>
          <w:tcPr>
            <w:tcW w:w="1472" w:type="dxa"/>
            <w:tcBorders>
              <w:top w:val="single" w:color="000000" w:sz="12" w:space="0"/>
              <w:left w:val="nil"/>
              <w:bottom w:val="nil"/>
              <w:right w:val="nil"/>
            </w:tcBorders>
            <w:shd w:val="clear" w:color="auto" w:fill="auto"/>
            <w:noWrap w:val="0"/>
            <w:tcMar>
              <w:top w:w="-1" w:type="dxa"/>
              <w:left w:w="-1" w:type="dxa"/>
              <w:bottom w:w="-1" w:type="dxa"/>
              <w:right w:w="-1" w:type="dxa"/>
            </w:tcMar>
            <w:vAlign w:val="center"/>
          </w:tcPr>
          <w:p w14:paraId="77835AA8">
            <w:pPr>
              <w:keepNext w:val="0"/>
              <w:keepLines w:val="0"/>
              <w:widowControl/>
              <w:suppressLineNumbers w:val="0"/>
              <w:snapToGrid w:val="0"/>
              <w:ind w:left="0" w:leftChars="0" w:right="0" w:rightChars="0" w:firstLine="0" w:firstLineChars="0"/>
              <w:jc w:val="center"/>
              <w:textAlignment w:val="top"/>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所属社区</w:t>
            </w:r>
          </w:p>
        </w:tc>
      </w:tr>
      <w:tr w14:paraId="01C4D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294402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社区</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931DAF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140</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5ADED2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0.9211</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08810D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0.5718</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37EBF9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0.9268</w:t>
            </w:r>
          </w:p>
        </w:tc>
        <w:tc>
          <w:tcPr>
            <w:tcW w:w="147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219F14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w:t>
            </w:r>
          </w:p>
        </w:tc>
      </w:tr>
      <w:tr w14:paraId="58275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46023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政府</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68CA3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86</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BB946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0.5526</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10F6F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lang w:val="en-US"/>
              </w:rPr>
            </w:pPr>
            <w:r>
              <w:rPr>
                <w:rFonts w:hint="default" w:ascii="Times New Roman" w:hAnsi="Times New Roman" w:eastAsia="宋体" w:cs="Times New Roman"/>
                <w:i w:val="0"/>
                <w:iCs w:val="0"/>
                <w:color w:val="000000"/>
                <w:kern w:val="0"/>
                <w:sz w:val="24"/>
                <w:szCs w:val="24"/>
                <w:u w:val="none"/>
                <w:lang w:val="en-US" w:eastAsia="zh-CN" w:bidi="ar"/>
              </w:rPr>
              <w:t>0.156</w:t>
            </w:r>
            <w:r>
              <w:rPr>
                <w:rFonts w:hint="eastAsia" w:ascii="Times New Roman" w:hAnsi="Times New Roman" w:eastAsia="宋体" w:cs="Times New Roman"/>
                <w:i w:val="0"/>
                <w:iCs w:val="0"/>
                <w:color w:val="000000"/>
                <w:kern w:val="0"/>
                <w:sz w:val="24"/>
                <w:szCs w:val="24"/>
                <w:u w:val="none"/>
                <w:lang w:val="en-US" w:eastAsia="zh-CN" w:bidi="ar"/>
              </w:rPr>
              <w:t>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DDE29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0.6786</w:t>
            </w: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31BCFC7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r>
      <w:tr w14:paraId="448FF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C8111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防跌倒</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27EAE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72</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A9F7A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0.5</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E2D25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0.0332</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2B597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0.6552</w:t>
            </w: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6A800C1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r>
      <w:tr w14:paraId="2D775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660F6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组织</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3995E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29</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E36F8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0.1842</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C2107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0.0149</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79C74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0.5352</w:t>
            </w: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529F193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w:t>
            </w:r>
          </w:p>
        </w:tc>
      </w:tr>
      <w:tr w14:paraId="7322F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D1318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政策</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063F1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782CE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0.1842</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FF7D1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0.0266</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09ECD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0.5429</w:t>
            </w: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5A40C25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r>
      <w:tr w14:paraId="54E68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5D9A8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负责</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00FBB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16</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E5D17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0.1842</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32B38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0.0498</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0B98D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0.5352</w:t>
            </w: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2E2C3DE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r>
      <w:tr w14:paraId="27000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476B8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上门</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4CF1D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26</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9BFA9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0.1579</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2B1DD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0.0562</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F9F99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0.5205</w:t>
            </w: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3329A7E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w:t>
            </w:r>
          </w:p>
        </w:tc>
      </w:tr>
      <w:tr w14:paraId="6054C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6818B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质量</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44CE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16</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4B795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0.1579</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9877B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0.005</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239A6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0.5278</w:t>
            </w: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718467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5</w:t>
            </w:r>
          </w:p>
        </w:tc>
      </w:tr>
      <w:tr w14:paraId="512A4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F64B1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及时</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06079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11</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2FB7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0.1579</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30AAB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0.0114</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EE32B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0.5278</w:t>
            </w: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306ECE7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w:t>
            </w:r>
          </w:p>
        </w:tc>
      </w:tr>
      <w:tr w14:paraId="61EF4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6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4333BF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定期</w:t>
            </w:r>
          </w:p>
        </w:tc>
        <w:tc>
          <w:tcPr>
            <w:tcW w:w="87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620CCA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18</w:t>
            </w:r>
          </w:p>
        </w:tc>
        <w:tc>
          <w:tcPr>
            <w:tcW w:w="147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2C9F3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0.1579</w:t>
            </w:r>
          </w:p>
        </w:tc>
        <w:tc>
          <w:tcPr>
            <w:tcW w:w="176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5A02A9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0.0706</w:t>
            </w:r>
          </w:p>
        </w:tc>
        <w:tc>
          <w:tcPr>
            <w:tcW w:w="176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A20585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0.5278</w:t>
            </w:r>
          </w:p>
        </w:tc>
        <w:tc>
          <w:tcPr>
            <w:tcW w:w="147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44B055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w:t>
            </w:r>
          </w:p>
        </w:tc>
      </w:tr>
    </w:tbl>
    <w:p w14:paraId="7BD59FE2">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default"/>
          <w:b w:val="0"/>
          <w:bCs w:val="0"/>
          <w:sz w:val="22"/>
          <w:szCs w:val="22"/>
          <w:lang w:val="en-US" w:eastAsia="zh-CN"/>
        </w:rPr>
      </w:pPr>
      <w:r>
        <w:rPr>
          <w:rFonts w:hint="eastAsia"/>
          <w:b w:val="0"/>
          <w:bCs w:val="0"/>
          <w:sz w:val="22"/>
          <w:szCs w:val="22"/>
          <w:lang w:val="en-US" w:eastAsia="zh-CN"/>
        </w:rPr>
        <w:t>注：该表仅展示前10个关键节点。该表按度中心性排序展示前10个关键节点；子女节点（中介中心性0.0894，全网第二）因度中心性相对较低未列入，已在正文中单独说明。</w:t>
      </w:r>
    </w:p>
    <w:p w14:paraId="37123C04">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b/>
          <w:bCs/>
          <w:sz w:val="24"/>
          <w:szCs w:val="24"/>
          <w:lang w:val="en-US" w:eastAsia="zh-CN"/>
        </w:rPr>
      </w:pPr>
      <w:r>
        <w:rPr>
          <w:rFonts w:hint="eastAsia"/>
          <w:b/>
          <w:bCs/>
          <w:sz w:val="24"/>
          <w:szCs w:val="24"/>
          <w:lang w:val="en-US" w:eastAsia="zh-CN"/>
        </w:rPr>
        <w:t>（2）五大语义社区的结构解析</w:t>
      </w:r>
    </w:p>
    <w:p w14:paraId="19587FD1">
      <w:pPr>
        <w:keepNext w:val="0"/>
        <w:keepLines w:val="0"/>
        <w:pageBreakBefore w:val="0"/>
        <w:widowControl w:val="0"/>
        <w:kinsoku/>
        <w:wordWrap/>
        <w:overflowPunct/>
        <w:topLinePunct w:val="0"/>
        <w:autoSpaceDE/>
        <w:autoSpaceDN/>
        <w:bidi w:val="0"/>
        <w:adjustRightInd/>
        <w:snapToGrid/>
        <w:spacing w:before="157" w:beforeLines="50" w:line="300" w:lineRule="auto"/>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1）社区一：政府政策主导型（14节点：政府、防跌倒、政策、负责、宣传、补贴、鼓励、企业、支持、优惠、活动、小区、商家、知识）</w:t>
      </w:r>
    </w:p>
    <w:p w14:paraId="627EB707">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该社区是节点数量最多的群组，以</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政府</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为核心，围绕政策制定、财政补贴与宣传推广展开。防跌倒（词频72）与政府的高频共现表明，受访者将防跌倒设施的推广责任首先指向政府层面；补贴（词频22）与优惠（词频10）的出现揭示出经济激励政策是受访者最直接的诉求——通过政府补贴降低个人安装成本被认为是推动扶手普及的关键杠杆。企业（中介中心性0.0868，位列全网第三）是连接政府政策与市场主体的桥接词，说明受访者期待政府通过引导企业参与来形成产业生态。</w:t>
      </w:r>
    </w:p>
    <w:p w14:paraId="2A74F17A">
      <w:pPr>
        <w:keepNext w:val="0"/>
        <w:keepLines w:val="0"/>
        <w:pageBreakBefore w:val="0"/>
        <w:widowControl w:val="0"/>
        <w:kinsoku/>
        <w:wordWrap/>
        <w:overflowPunct/>
        <w:topLinePunct w:val="0"/>
        <w:autoSpaceDE/>
        <w:autoSpaceDN/>
        <w:bidi w:val="0"/>
        <w:adjustRightInd/>
        <w:snapToGrid/>
        <w:spacing w:before="157" w:beforeLines="50" w:line="300" w:lineRule="auto"/>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2）社区二：社区服务支撑型（11节点：社区、组织、上门、定期、志愿者、检查、推荐、安全、分享、帮忙、师傅）</w:t>
      </w:r>
    </w:p>
    <w:p w14:paraId="1D6D106C">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该社区以社区为绝对枢纽，强调社区组织在扶手推广与日常维护中的主体作用。上门（词频26，中介中心性0.0562）与定期（词频18，中介中心性0.0706）的共现反映出受访者希望社区能够提供上门评估与定期检查服务；志愿者（词频14）的出现说明社区志愿力量被视为重要的补充支撑；分享与推荐则指向受访者期待借助社区平台实现邻里间的经验传播，形成示范效应。这一社区的整体语义指向符合</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9073</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养老格局中社区养老服务的核心定位，即社区作为居家老年人生活支持的第一圈层。</w:t>
      </w:r>
    </w:p>
    <w:p w14:paraId="5C905DD5">
      <w:pPr>
        <w:keepNext w:val="0"/>
        <w:keepLines w:val="0"/>
        <w:pageBreakBefore w:val="0"/>
        <w:widowControl w:val="0"/>
        <w:kinsoku/>
        <w:wordWrap/>
        <w:overflowPunct/>
        <w:topLinePunct w:val="0"/>
        <w:autoSpaceDE/>
        <w:autoSpaceDN/>
        <w:bidi w:val="0"/>
        <w:adjustRightInd/>
        <w:snapToGrid/>
        <w:spacing w:before="157" w:beforeLines="50" w:line="300" w:lineRule="auto"/>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3）社区三：子女申请协助型（6节点：子女、服务、维护、申请、免费、麻烦）</w:t>
      </w:r>
    </w:p>
    <w:p w14:paraId="424BF6DF">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该社区规模较小但语义鲜明。子女（词频12，中介中心性0.0894，全网第二）在网络中承担重要的跨社区桥接作用，说明子女群体是连接政策申请与实际服务获取之间的关键中介。麻烦（词频8）与申请（词频18）的共现，直接揭示出现行申请流程的痛点：流程繁琐被认为是阻碍扶手安装的重要障碍；免费（词频14）的诉求则进一步强调了经济门槛对低收入老年群体的制约。该社区的语义结构呼应了政策层面的“最后一公里”问题——即使有补贴政策，申请门槛过高仍会导致政策红利无法真正惠及目标群体。</w:t>
      </w:r>
    </w:p>
    <w:p w14:paraId="2BA193A9">
      <w:pPr>
        <w:keepNext w:val="0"/>
        <w:keepLines w:val="0"/>
        <w:pageBreakBefore w:val="0"/>
        <w:widowControl w:val="0"/>
        <w:kinsoku/>
        <w:wordWrap/>
        <w:overflowPunct/>
        <w:topLinePunct w:val="0"/>
        <w:autoSpaceDE/>
        <w:autoSpaceDN/>
        <w:bidi w:val="0"/>
        <w:adjustRightInd/>
        <w:snapToGrid/>
        <w:spacing w:before="157" w:beforeLines="50" w:line="300" w:lineRule="auto"/>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4）社区四：公共空间改造型（5节点：区域、公共、及时、建立、楼道）</w:t>
      </w:r>
    </w:p>
    <w:p w14:paraId="0D9061EB">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该社区聚焦于社区公共区域（走廊、楼道）的扶手配置需求。楼道（词频10）与公共（词频19）、区域（词频18）的共现，指向老年人对楼道等公共场所扶手设施缺失问题的关注；及时与建立的共现反映出受访者期待相关配套设施能够得到快速响应与系统性建设，而非仅依赖个人家庭改造。</w:t>
      </w:r>
    </w:p>
    <w:p w14:paraId="2C9F6444">
      <w:pPr>
        <w:keepNext w:val="0"/>
        <w:keepLines w:val="0"/>
        <w:pageBreakBefore w:val="0"/>
        <w:widowControl w:val="0"/>
        <w:kinsoku/>
        <w:wordWrap/>
        <w:overflowPunct/>
        <w:topLinePunct w:val="0"/>
        <w:autoSpaceDE/>
        <w:autoSpaceDN/>
        <w:bidi w:val="0"/>
        <w:adjustRightInd/>
        <w:snapToGrid/>
        <w:spacing w:before="157" w:beforeLines="50" w:line="300" w:lineRule="auto"/>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5）社区五：标准与价格协调型（3节点：质量、价格、统一）</w:t>
      </w:r>
    </w:p>
    <w:p w14:paraId="04BA03D3">
      <w:pPr>
        <w:keepNext w:val="0"/>
        <w:keepLines w:val="0"/>
        <w:pageBreakBefore w:val="0"/>
        <w:widowControl w:val="0"/>
        <w:kinsoku/>
        <w:wordWrap/>
        <w:overflowPunct/>
        <w:topLinePunct w:val="0"/>
        <w:autoSpaceDE/>
        <w:autoSpaceDN/>
        <w:bidi w:val="0"/>
        <w:adjustRightInd/>
        <w:snapToGrid/>
        <w:spacing w:before="157" w:beforeLines="50" w:line="300" w:lineRule="auto"/>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该社区节点数量最少，但语义高度凝练。质量（词频16）、价格（词频8）与统一（词频13）的共现，表达了受访者对产品标准化的迫切需求</w:t>
      </w:r>
      <w:r>
        <w:rPr>
          <w:rFonts w:hint="eastAsia" w:ascii="Times New Roman" w:hAnsi="Times New Roman" w:cs="Times New Roman"/>
          <w:sz w:val="24"/>
          <w:szCs w:val="24"/>
          <w:lang w:val="en-US" w:eastAsia="zh-CN"/>
        </w:rPr>
        <w:t>，即</w:t>
      </w:r>
      <w:r>
        <w:rPr>
          <w:rFonts w:hint="default" w:ascii="Times New Roman" w:hAnsi="Times New Roman" w:cs="Times New Roman"/>
          <w:sz w:val="24"/>
          <w:szCs w:val="24"/>
          <w:lang w:val="en-US" w:eastAsia="zh-CN"/>
        </w:rPr>
        <w:t>希望通过建立统一的质量标准与价格规范来避免市场乱象，保障老年消费者的权益。</w:t>
      </w:r>
    </w:p>
    <w:p w14:paraId="42D29180">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b/>
          <w:bCs/>
          <w:sz w:val="24"/>
          <w:szCs w:val="24"/>
          <w:lang w:val="en-US" w:eastAsia="zh-CN"/>
        </w:rPr>
      </w:pPr>
      <w:r>
        <w:rPr>
          <w:rFonts w:hint="eastAsia"/>
          <w:b/>
          <w:bCs/>
          <w:sz w:val="24"/>
          <w:szCs w:val="24"/>
          <w:lang w:val="en-US" w:eastAsia="zh-CN"/>
        </w:rPr>
        <w:t>（3）政策支持需求的“双核驱动、五维并进”格局</w:t>
      </w:r>
    </w:p>
    <w:p w14:paraId="20E06A1F">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政策支持需求语义网络呈现出以社区与政府双核心驱动为轴心、五类需求主题并进的结构特征。从中介中心性来看，社区（0.5718）显著高于政府（0.1560），表明在受访者的认知图式中，社区是政策落地的核心执行主体，政府的角色更多在于政策设计与资源配置。这一发现与天津市“9073”养老格局的制度逻辑高度契合，即以社区为轴心整合居家养老资源，形成政府主导、社区执行、家庭配合、市场参与的多元协同格局。</w:t>
      </w:r>
    </w:p>
    <w:p w14:paraId="25CDD2C3">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四、</w:t>
      </w:r>
      <w:r>
        <w:rPr>
          <w:rFonts w:hint="default" w:ascii="黑体" w:hAnsi="黑体" w:eastAsia="黑体" w:cs="黑体"/>
          <w:sz w:val="28"/>
          <w:szCs w:val="28"/>
          <w:lang w:val="en-US" w:eastAsia="zh-CN"/>
        </w:rPr>
        <w:t>需求配置优化路径</w:t>
      </w:r>
    </w:p>
    <w:p w14:paraId="1DA3D05A">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语义网络分析揭示，防跌倒扶手的需求配置涉及产品供给与政策支持两条相互依存的主线。产品需求网络中</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买</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装</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用</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三维框架与政策支持网络中</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政府主导、社区枢纽、多元协同</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的双核结构，共同指向一个核心命题</w:t>
      </w:r>
      <w:r>
        <w:rPr>
          <w:rFonts w:hint="eastAsia" w:ascii="Times New Roman" w:hAnsi="Times New Roman" w:cs="Times New Roman"/>
          <w:sz w:val="24"/>
          <w:szCs w:val="24"/>
          <w:lang w:val="en-US" w:eastAsia="zh-CN"/>
        </w:rPr>
        <w:t>，即</w:t>
      </w:r>
      <w:r>
        <w:rPr>
          <w:rFonts w:hint="default" w:ascii="Times New Roman" w:hAnsi="Times New Roman" w:cs="Times New Roman"/>
          <w:sz w:val="24"/>
          <w:szCs w:val="24"/>
          <w:lang w:val="en-US" w:eastAsia="zh-CN"/>
        </w:rPr>
        <w:t>当前天津市防跌倒扶手的配置困境，根源在于产品可及性不足与政策落地梗阻的双重叠加。为此，本节从产品端、政策端与协同路径三个层面提出优化建议。</w:t>
      </w:r>
    </w:p>
    <w:p w14:paraId="6A2A9E8B">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default"/>
          <w:b/>
          <w:bCs/>
          <w:sz w:val="24"/>
          <w:szCs w:val="24"/>
          <w:lang w:val="en-US" w:eastAsia="zh-CN"/>
        </w:rPr>
      </w:pPr>
      <w:r>
        <w:rPr>
          <w:rFonts w:hint="default"/>
          <w:b/>
          <w:bCs/>
          <w:sz w:val="24"/>
          <w:szCs w:val="24"/>
          <w:lang w:val="en-US" w:eastAsia="zh-CN"/>
        </w:rPr>
        <w:t>（</w:t>
      </w:r>
      <w:r>
        <w:rPr>
          <w:rFonts w:hint="eastAsia"/>
          <w:b/>
          <w:bCs/>
          <w:sz w:val="24"/>
          <w:szCs w:val="24"/>
          <w:lang w:val="en-US" w:eastAsia="zh-CN"/>
        </w:rPr>
        <w:t>1</w:t>
      </w:r>
      <w:r>
        <w:rPr>
          <w:rFonts w:hint="default"/>
          <w:b/>
          <w:bCs/>
          <w:sz w:val="24"/>
          <w:szCs w:val="24"/>
          <w:lang w:val="en-US" w:eastAsia="zh-CN"/>
        </w:rPr>
        <w:t>）产品端优化路径：畅通</w:t>
      </w:r>
      <w:r>
        <w:rPr>
          <w:rFonts w:hint="eastAsia"/>
          <w:b/>
          <w:bCs/>
          <w:sz w:val="24"/>
          <w:szCs w:val="24"/>
          <w:lang w:val="en-US" w:eastAsia="zh-CN"/>
        </w:rPr>
        <w:t>“</w:t>
      </w:r>
      <w:r>
        <w:rPr>
          <w:rFonts w:hint="default"/>
          <w:b/>
          <w:bCs/>
          <w:sz w:val="24"/>
          <w:szCs w:val="24"/>
          <w:lang w:val="en-US" w:eastAsia="zh-CN"/>
        </w:rPr>
        <w:t>渠道—安装—质量</w:t>
      </w:r>
      <w:r>
        <w:rPr>
          <w:rFonts w:hint="eastAsia"/>
          <w:b/>
          <w:bCs/>
          <w:sz w:val="24"/>
          <w:szCs w:val="24"/>
          <w:lang w:val="en-US" w:eastAsia="zh-CN"/>
        </w:rPr>
        <w:t>”</w:t>
      </w:r>
      <w:r>
        <w:rPr>
          <w:rFonts w:hint="default"/>
          <w:b/>
          <w:bCs/>
          <w:sz w:val="24"/>
          <w:szCs w:val="24"/>
          <w:lang w:val="en-US" w:eastAsia="zh-CN"/>
        </w:rPr>
        <w:t>全链条</w:t>
      </w:r>
    </w:p>
    <w:p w14:paraId="71B7C038">
      <w:pPr>
        <w:keepNext w:val="0"/>
        <w:keepLines w:val="0"/>
        <w:pageBreakBefore w:val="0"/>
        <w:widowControl w:val="0"/>
        <w:kinsoku/>
        <w:wordWrap/>
        <w:overflowPunct/>
        <w:topLinePunct w:val="0"/>
        <w:autoSpaceDE/>
        <w:autoSpaceDN/>
        <w:bidi w:val="0"/>
        <w:adjustRightInd/>
        <w:snapToGrid/>
        <w:spacing w:before="157" w:beforeLines="50" w:line="300" w:lineRule="auto"/>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1）拓展多元购买渠道，降低获取门槛</w:t>
      </w:r>
    </w:p>
    <w:p w14:paraId="7FDD9F77">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产品需求网络中，渠道（度中心性1.000）与购买（词频48）共同构成网络核心，网上（词频26）与渠道的高频共现表明线上购买渠道已成为重要路径。然而，检查一词的出现揭示出老年群体对网购商品真实性的疑虑。对此，建议从以下两方面推进：一是在社区居委会、街道养老服务中心设立防跌倒辅具实体展示与体验专区，使老年人在购买前能够实际触摸、试用产品，弥补线上渠道</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所见不所得</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的感知落差；二是引导电商平台对适老化产品实施专项认证标识与官方质检报告展示，提升线上购买的信息透明度与信任度。</w:t>
      </w:r>
    </w:p>
    <w:p w14:paraId="75471D7B">
      <w:pPr>
        <w:keepNext w:val="0"/>
        <w:keepLines w:val="0"/>
        <w:pageBreakBefore w:val="0"/>
        <w:widowControl w:val="0"/>
        <w:kinsoku/>
        <w:wordWrap/>
        <w:overflowPunct/>
        <w:topLinePunct w:val="0"/>
        <w:autoSpaceDE/>
        <w:autoSpaceDN/>
        <w:bidi w:val="0"/>
        <w:adjustRightInd/>
        <w:snapToGrid/>
        <w:spacing w:before="157" w:beforeLines="50" w:line="300" w:lineRule="auto"/>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2）建立专业安装服务体系，提升服务可靠性</w:t>
      </w:r>
    </w:p>
    <w:p w14:paraId="3C34FF06">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师傅（词频52，全网最高）是产品需求网络的最高频词，与安装服务（度中心性1.000）共同锚定网络中枢，说明安装环节的专业性是影响产品体验的核心变量。建议依托天津市现有家政服务平台，建立防跌倒扶手专项安装工人资质认证制度，设置持证上岗要求；同时推行</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安装服务明码标价</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机制，回应价格（词频21）与装得（词频10）反映的费用透明化诉求，从根本上消除</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装不好、费用乱</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的服务隐患。</w:t>
      </w:r>
    </w:p>
    <w:p w14:paraId="131B4072">
      <w:pPr>
        <w:keepNext w:val="0"/>
        <w:keepLines w:val="0"/>
        <w:pageBreakBefore w:val="0"/>
        <w:widowControl w:val="0"/>
        <w:kinsoku/>
        <w:wordWrap/>
        <w:overflowPunct/>
        <w:topLinePunct w:val="0"/>
        <w:autoSpaceDE/>
        <w:autoSpaceDN/>
        <w:bidi w:val="0"/>
        <w:adjustRightInd/>
        <w:snapToGrid/>
        <w:spacing w:before="157" w:beforeLines="50" w:line="300" w:lineRule="auto"/>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3）强化产品质量标准，聚焦耐用与安全属性</w:t>
      </w:r>
    </w:p>
    <w:p w14:paraId="18A0CB1F">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结实（中介中心性0.2727，全网最高中介节点）作为两个社区之间的语义桥梁，揭示出产品耐用性是连通购买决策与使用体验的核心评价维度。建议联合市场监管部门，针对老年人居家防跌倒扶手制定天津市地方标准，重点规定承重能力、防滑性能与使用寿命三项核心指标，并将安全（词频21）认证作为政府采购与补贴申请的必要条件，以标准倒逼市场供给质量提升。</w:t>
      </w:r>
    </w:p>
    <w:p w14:paraId="52CB6DEC">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default"/>
          <w:b/>
          <w:bCs/>
          <w:sz w:val="24"/>
          <w:szCs w:val="24"/>
          <w:lang w:val="en-US" w:eastAsia="zh-CN"/>
        </w:rPr>
      </w:pPr>
      <w:r>
        <w:rPr>
          <w:rFonts w:hint="default"/>
          <w:b/>
          <w:bCs/>
          <w:sz w:val="24"/>
          <w:szCs w:val="24"/>
          <w:lang w:val="en-US" w:eastAsia="zh-CN"/>
        </w:rPr>
        <w:t>（</w:t>
      </w:r>
      <w:r>
        <w:rPr>
          <w:rFonts w:hint="eastAsia"/>
          <w:b/>
          <w:bCs/>
          <w:sz w:val="24"/>
          <w:szCs w:val="24"/>
          <w:lang w:val="en-US" w:eastAsia="zh-CN"/>
        </w:rPr>
        <w:t>2</w:t>
      </w:r>
      <w:r>
        <w:rPr>
          <w:rFonts w:hint="default"/>
          <w:b/>
          <w:bCs/>
          <w:sz w:val="24"/>
          <w:szCs w:val="24"/>
          <w:lang w:val="en-US" w:eastAsia="zh-CN"/>
        </w:rPr>
        <w:t>）政策端优化路径：构建</w:t>
      </w:r>
      <w:r>
        <w:rPr>
          <w:rFonts w:hint="eastAsia"/>
          <w:b/>
          <w:bCs/>
          <w:sz w:val="24"/>
          <w:szCs w:val="24"/>
          <w:lang w:val="en-US" w:eastAsia="zh-CN"/>
        </w:rPr>
        <w:t>“</w:t>
      </w:r>
      <w:r>
        <w:rPr>
          <w:rFonts w:hint="default"/>
          <w:b/>
          <w:bCs/>
          <w:sz w:val="24"/>
          <w:szCs w:val="24"/>
          <w:lang w:val="en-US" w:eastAsia="zh-CN"/>
        </w:rPr>
        <w:t>政府—社区—家庭</w:t>
      </w:r>
      <w:r>
        <w:rPr>
          <w:rFonts w:hint="eastAsia"/>
          <w:b/>
          <w:bCs/>
          <w:sz w:val="24"/>
          <w:szCs w:val="24"/>
          <w:lang w:val="en-US" w:eastAsia="zh-CN"/>
        </w:rPr>
        <w:t>”</w:t>
      </w:r>
      <w:r>
        <w:rPr>
          <w:rFonts w:hint="default"/>
          <w:b/>
          <w:bCs/>
          <w:sz w:val="24"/>
          <w:szCs w:val="24"/>
          <w:lang w:val="en-US" w:eastAsia="zh-CN"/>
        </w:rPr>
        <w:t>三级配置格局</w:t>
      </w:r>
    </w:p>
    <w:p w14:paraId="2B3F62A2">
      <w:pPr>
        <w:keepNext w:val="0"/>
        <w:keepLines w:val="0"/>
        <w:pageBreakBefore w:val="0"/>
        <w:widowControl w:val="0"/>
        <w:kinsoku/>
        <w:wordWrap/>
        <w:overflowPunct/>
        <w:topLinePunct w:val="0"/>
        <w:autoSpaceDE/>
        <w:autoSpaceDN/>
        <w:bidi w:val="0"/>
        <w:adjustRightInd/>
        <w:snapToGrid/>
        <w:spacing w:before="157" w:beforeLines="50" w:line="300" w:lineRule="auto"/>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1）政府层面：完善补贴政策，破除申请梗阻</w:t>
      </w:r>
    </w:p>
    <w:p w14:paraId="48749C8F">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政策支持网络中，政府（度中心性0.5526，中介中心性0.1560）与补贴（词频22）、优惠（词频10）的高频共现，指向受访者对经济激励政策的核心诉求。然而，社区三（子女申请协助型）中麻烦与申请的共现直接点明了政策落地的主要障碍</w:t>
      </w:r>
      <w:r>
        <w:rPr>
          <w:rFonts w:hint="eastAsia" w:ascii="Times New Roman" w:hAnsi="Times New Roman" w:cs="Times New Roman"/>
          <w:sz w:val="24"/>
          <w:szCs w:val="24"/>
          <w:lang w:val="en-US" w:eastAsia="zh-CN"/>
        </w:rPr>
        <w:t>，即</w:t>
      </w:r>
      <w:r>
        <w:rPr>
          <w:rFonts w:hint="default" w:ascii="Times New Roman" w:hAnsi="Times New Roman" w:cs="Times New Roman"/>
          <w:sz w:val="24"/>
          <w:szCs w:val="24"/>
          <w:lang w:val="en-US" w:eastAsia="zh-CN"/>
        </w:rPr>
        <w:t>申请流程繁琐是阻碍潜在受益群体获取政策红利的关键堵点。</w:t>
      </w:r>
    </w:p>
    <w:p w14:paraId="5C290ACB">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为此，建议推进以下改革：其一，将防跌倒扶手安装纳入天津市既有适老化改造补贴的</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免申即享</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范畴，依托民政系统主动识别80岁以上独居老人、低保老人等重点群体，变</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老人申请</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为</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政府主动推送</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其二，参照长护险经办模式，委托社区承接申请受理与资格审核职能，将审批环节从行政窗口前移至社区，将申请材料压缩至居住证明与年龄证明两项核心要件；其三，在企业（中介中心性0.0868）节点的语义指向基础上，探索</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政府补贴+企业让利+老人自付小额</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的三方分担机制，引导规范化安装企业进入这一细分市场。</w:t>
      </w:r>
    </w:p>
    <w:p w14:paraId="19902303">
      <w:pPr>
        <w:keepNext w:val="0"/>
        <w:keepLines w:val="0"/>
        <w:pageBreakBefore w:val="0"/>
        <w:widowControl w:val="0"/>
        <w:kinsoku/>
        <w:wordWrap/>
        <w:overflowPunct/>
        <w:topLinePunct w:val="0"/>
        <w:autoSpaceDE/>
        <w:autoSpaceDN/>
        <w:bidi w:val="0"/>
        <w:adjustRightInd/>
        <w:snapToGrid/>
        <w:spacing w:before="157" w:beforeLines="50" w:line="300" w:lineRule="auto"/>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2）社区层面：激活枢纽职能，打造服务闭环</w:t>
      </w:r>
    </w:p>
    <w:p w14:paraId="236EC4EA">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社区是政策支持网络的绝对核心（度中心性0.9211，中介中心性0.5718），其中介中心性远超所有其他节点，表明社区在各类需求议题之间承担着不可替代的信息枢纽与服务协调功能。结合社区二（社区服务支撑型）中上门（词频26）、定期（词频18）、志愿者（词频14）的高频共现，建议从三个维度激活社区的枢纽职能：</w:t>
      </w:r>
    </w:p>
    <w:p w14:paraId="6E8FB423">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一是建立上门需求评估机制。由社区网格员或经培训的志愿者定期入户，对辖区内65岁以上老人的居家环境开展防跌倒风险评估，识别扶手安装需求，形成</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主动发现—需求登记—转介安装</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的标准化服务链条；</w:t>
      </w:r>
    </w:p>
    <w:p w14:paraId="5B15FBFE">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二是构建邻里示范推广网络。社区二中分享与推荐的共现揭示出社区内部口碑传播的重要性。建议在完成安装的家庭中遴选</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适老化改造示范户</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，定期开展参观交流活动，借助邻里信任关系加速扶手安装理念的自发扩散；</w:t>
      </w:r>
    </w:p>
    <w:p w14:paraId="6D2B3BB4">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三是整合志愿服务力量。将防跌倒知识宣传、安装陪同协助等服务纳入社区志愿者积分体系，形成可持续的非正式服务补充机制，尤其针对社区四（公共空间改造型）所揭示的楼道、公共区域扶手缺失问题，推动物业与居委会协同推进公共走廊扶手的统一配置。</w:t>
      </w:r>
    </w:p>
    <w:p w14:paraId="06C6BDCE">
      <w:pPr>
        <w:keepNext w:val="0"/>
        <w:keepLines w:val="0"/>
        <w:pageBreakBefore w:val="0"/>
        <w:widowControl w:val="0"/>
        <w:kinsoku/>
        <w:wordWrap/>
        <w:overflowPunct/>
        <w:topLinePunct w:val="0"/>
        <w:autoSpaceDE/>
        <w:autoSpaceDN/>
        <w:bidi w:val="0"/>
        <w:adjustRightInd/>
        <w:snapToGrid/>
        <w:spacing w:before="157" w:beforeLines="50" w:line="300" w:lineRule="auto"/>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3）家庭层面：发挥子女中介作用，促进代际协同</w:t>
      </w:r>
    </w:p>
    <w:p w14:paraId="2CE392A2">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社区三中子女（中介中心性0.0894，全网第二）的突出桥接地位，印证了子女在老年人获取政策支持过程中的关键中介角色。然而，麻烦与申请的共现表明，流程壁垒正在削弱子女协助意愿。为此，建议通过微信公众号、社区小程序等渠道向子女群体推送“一键申请”服务入口，设计操作步骤不超过5步的线上申请流程，同时开发“子女代办”授权功能，允许子女以数字授权方式代理父母完成全流程申请，真正将免费（词频14）的政策福利转化为可触达的实际受益。</w:t>
      </w:r>
    </w:p>
    <w:p w14:paraId="29BC2DAD">
      <w:pPr>
        <w:keepNext w:val="0"/>
        <w:keepLines w:val="0"/>
        <w:pageBreakBefore w:val="0"/>
        <w:widowControl w:val="0"/>
        <w:kinsoku/>
        <w:wordWrap/>
        <w:overflowPunct/>
        <w:topLinePunct w:val="0"/>
        <w:autoSpaceDE/>
        <w:autoSpaceDN/>
        <w:bidi w:val="0"/>
        <w:adjustRightInd/>
        <w:snapToGrid/>
        <w:spacing w:before="157" w:beforeLines="50" w:line="300" w:lineRule="auto"/>
        <w:jc w:val="both"/>
        <w:textAlignment w:val="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（3）“产品—政策”双轨协同的整体优化框架</w:t>
      </w:r>
    </w:p>
    <w:p w14:paraId="555A65B0">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综合产品端与政策端的分析，本研究提出以下整体优化框架（见图6-3）：</w:t>
      </w:r>
    </w:p>
    <w:p w14:paraId="705A3DB2">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以社区为枢纽，以政府为资源调配主体，形成“政府出政策、社区建网络、市场供产品、家庭促落地”的四方协同配置格局。具体而言：政府负责制定补贴标准、产品质量规范与申请简化制度，提供政策“顶层设计”；社区负责需求识别、信息传递与服务协调，承担“中间层执行”；市场主体（安装企业、电商平台）负责响应渠道便利性与安装专业性需求，提供“末端供给”；家庭（尤其是子女）负责协助申请、监督安装，完成“微观落地”。</w:t>
      </w:r>
    </w:p>
    <w:p w14:paraId="6E201D14">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四方主体各司其职、有机衔接，方能打通从政策设计到产品入户的全链条梗阻，真正实现在“9073”养老格局下天津市老年人居家防跌倒扶手需求的精准配置与可持续优化。</w:t>
      </w:r>
    </w:p>
    <w:p w14:paraId="5E32016A">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drawing>
          <wp:inline distT="0" distB="0" distL="114300" distR="114300">
            <wp:extent cx="4395470" cy="4395470"/>
            <wp:effectExtent l="0" t="0" r="11430" b="11430"/>
            <wp:docPr id="3" name="图片 3" descr="四方协同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四方协同框架图"/>
                    <pic:cNvPicPr>
                      <a:picLocks noChangeAspect="1"/>
                    </pic:cNvPicPr>
                  </pic:nvPicPr>
                  <pic:blipFill>
                    <a:blip r:embed="rId6"/>
                    <a:stretch>
                      <a:fillRect/>
                    </a:stretch>
                  </pic:blipFill>
                  <pic:spPr>
                    <a:xfrm>
                      <a:off x="0" y="0"/>
                      <a:ext cx="4395470" cy="4395470"/>
                    </a:xfrm>
                    <a:prstGeom prst="rect">
                      <a:avLst/>
                    </a:prstGeom>
                  </pic:spPr>
                </pic:pic>
              </a:graphicData>
            </a:graphic>
          </wp:inline>
        </w:drawing>
      </w:r>
    </w:p>
    <w:p w14:paraId="2EC9F47D">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center"/>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图6-3 防跌倒扶手需求配置四方协同优化框架图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CB2A6B"/>
    <w:rsid w:val="45B13A0B"/>
    <w:rsid w:val="48B832CC"/>
    <w:rsid w:val="526826DD"/>
    <w:rsid w:val="53503049"/>
    <w:rsid w:val="5F6D7533"/>
    <w:rsid w:val="60934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6537</Words>
  <Characters>7215</Characters>
  <Lines>0</Lines>
  <Paragraphs>0</Paragraphs>
  <TotalTime>1</TotalTime>
  <ScaleCrop>false</ScaleCrop>
  <LinksUpToDate>false</LinksUpToDate>
  <CharactersWithSpaces>7244</CharactersWithSpaces>
  <Application>WPS Office_12.8.2.18913_F1E327BC-269C-435d-A152-05C5408002CA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2026-03-01T12:34:00Z</dcterms:created>
  <dc:creator>CurryLin</dc:creator>
  <cp:lastModifiedBy>Día Brillante</cp:lastModifiedBy>
  <dcterms:modified xsi:type="dcterms:W3CDTF">2026-03-02T09:26:07Z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2052-12.8.2.18913</vt:lpwstr>
  </property>
  <property fmtid="{D5CDD505-2E9C-101B-9397-08002B2CF9AE}" pid="3" name="KSOTemplateDocerSaveRecord">
    <vt:lpwstr>eyJoZGlkIjoiZTMzOWY1ZDYwYzNmMGQ4M2EzZjI2Njc3MTA0MjQ3NjciLCJ1c2VySWQiOiI4NjczNjEyMjUifQ==</vt:lpwstr>
  </property>
  <property fmtid="{D5CDD505-2E9C-101B-9397-08002B2CF9AE}" pid="4" name="ICV">
    <vt:lpwstr>704ADE427A494B0B909497670BEB0DDE_12</vt:lpwstr>
  </property>
</Properties>
</file>