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0CD7A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老年人</w:t>
      </w:r>
    </w:p>
    <w:p w14:paraId="0D921B1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本研究对老年人预调查回收的127份初始问卷进行严格质量筛选，以确保数据的可靠性与有效性。剔除无效问卷的标准如下：</w:t>
      </w:r>
    </w:p>
    <w:p w14:paraId="1A1783C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IP地址重复：同一IP地址多次提交的问卷，视为重复作答，予以剔除；</w:t>
      </w:r>
    </w:p>
    <w:p w14:paraId="0B0DF0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填写时间过短：问卷总填写时间小于180秒，判定为未认真阅读题目、随意作答的无效问卷；</w:t>
      </w:r>
    </w:p>
    <w:p w14:paraId="289F26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答案一致性过高：所有题项选择完全相同，或存在明显规律作答的问卷；</w:t>
      </w:r>
    </w:p>
    <w:p w14:paraId="3FE600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逻辑矛盾：关键题项回答存在明显逻辑冲突</w:t>
      </w:r>
    </w:p>
    <w:p w14:paraId="38637D0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经筛选后，最终获得有效问卷121份。有效回收率95.28%。</w:t>
      </w:r>
    </w:p>
    <w:p w14:paraId="7D767F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99BF3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采用Cronbachα信度系数评估量表内部各项指标之间的相关性和一致性。结果显示，各分量表及总量表的Cronbach's α系数均大于0.7，其中总量表信度为0.862，表明本研究量表具有良好的内部一致性信度，测量结果稳定可靠。</w:t>
      </w:r>
    </w:p>
    <w:p w14:paraId="7056E256">
      <w:pPr>
        <w:pStyle w:val="5"/>
        <w:jc w:val="center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老年人预调查Cronbach信度分析表</w:t>
      </w:r>
    </w:p>
    <w:tbl>
      <w:tblPr>
        <w:tblW w:w="4999" w:type="pct"/>
        <w:tblInd w:w="0" w:type="dxa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5686"/>
      </w:tblGrid>
      <w:tr w14:paraId="3FEFA45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top w:val="single" w:color="000000" w:sz="12" w:space="0"/>
              <w:bottom w:val="single" w:color="000000" w:sz="4" w:space="0"/>
            </w:tcBorders>
            <w:shd w:val="clear"/>
            <w:noWrap/>
            <w:vAlign w:val="center"/>
          </w:tcPr>
          <w:p w14:paraId="3E36A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3336" w:type="pct"/>
            <w:tcBorders>
              <w:top w:val="single" w:color="000000" w:sz="12" w:space="0"/>
              <w:bottom w:val="single" w:color="000000" w:sz="4" w:space="0"/>
            </w:tcBorders>
            <w:shd w:val="clear"/>
            <w:noWrap/>
            <w:vAlign w:val="center"/>
          </w:tcPr>
          <w:p w14:paraId="4B56E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Cronbach’s Alpha</w:t>
            </w:r>
          </w:p>
        </w:tc>
      </w:tr>
      <w:tr w14:paraId="693C045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top w:val="single" w:color="000000" w:sz="4" w:space="0"/>
            </w:tcBorders>
            <w:shd w:val="clear"/>
            <w:noWrap/>
            <w:vAlign w:val="center"/>
          </w:tcPr>
          <w:p w14:paraId="2C3AB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风险收益</w:t>
            </w:r>
          </w:p>
        </w:tc>
        <w:tc>
          <w:tcPr>
            <w:tcW w:w="3336" w:type="pct"/>
            <w:tcBorders>
              <w:top w:val="single" w:color="000000" w:sz="4" w:space="0"/>
            </w:tcBorders>
            <w:shd w:val="clear"/>
            <w:noWrap/>
            <w:vAlign w:val="center"/>
          </w:tcPr>
          <w:p w14:paraId="33017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0.830 </w:t>
            </w:r>
          </w:p>
        </w:tc>
      </w:tr>
      <w:tr w14:paraId="3D407B71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/>
            <w:shd w:val="clear"/>
            <w:noWrap/>
            <w:vAlign w:val="center"/>
          </w:tcPr>
          <w:p w14:paraId="5B313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社会支持</w:t>
            </w:r>
          </w:p>
        </w:tc>
        <w:tc>
          <w:tcPr>
            <w:tcW w:w="3336" w:type="pct"/>
            <w:tcBorders/>
            <w:shd w:val="clear"/>
            <w:noWrap/>
            <w:vAlign w:val="center"/>
          </w:tcPr>
          <w:p w14:paraId="48FBF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0.798</w:t>
            </w:r>
          </w:p>
        </w:tc>
      </w:tr>
      <w:tr w14:paraId="70602E0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/>
            <w:shd w:val="clear"/>
            <w:noWrap/>
            <w:vAlign w:val="center"/>
          </w:tcPr>
          <w:p w14:paraId="53A8B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政策适配</w:t>
            </w:r>
          </w:p>
        </w:tc>
        <w:tc>
          <w:tcPr>
            <w:tcW w:w="3336" w:type="pct"/>
            <w:tcBorders/>
            <w:shd w:val="clear"/>
            <w:noWrap/>
            <w:vAlign w:val="center"/>
          </w:tcPr>
          <w:p w14:paraId="0B840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0.825</w:t>
            </w:r>
          </w:p>
        </w:tc>
      </w:tr>
      <w:tr w14:paraId="0817129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/>
            <w:shd w:val="clear"/>
            <w:noWrap/>
            <w:vAlign w:val="center"/>
          </w:tcPr>
          <w:p w14:paraId="08CC9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生活依赖</w:t>
            </w:r>
          </w:p>
        </w:tc>
        <w:tc>
          <w:tcPr>
            <w:tcW w:w="3336" w:type="pct"/>
            <w:tcBorders/>
            <w:shd w:val="clear"/>
            <w:noWrap/>
            <w:vAlign w:val="center"/>
          </w:tcPr>
          <w:p w14:paraId="4DA88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0.854</w:t>
            </w:r>
          </w:p>
        </w:tc>
      </w:tr>
      <w:tr w14:paraId="5B146548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/>
            <w:shd w:val="clear"/>
            <w:noWrap/>
            <w:vAlign w:val="center"/>
          </w:tcPr>
          <w:p w14:paraId="77795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使用意愿</w:t>
            </w:r>
          </w:p>
        </w:tc>
        <w:tc>
          <w:tcPr>
            <w:tcW w:w="3336" w:type="pct"/>
            <w:tcBorders/>
            <w:shd w:val="clear"/>
            <w:noWrap/>
            <w:vAlign w:val="center"/>
          </w:tcPr>
          <w:p w14:paraId="6ABF6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0.788</w:t>
            </w:r>
          </w:p>
        </w:tc>
      </w:tr>
      <w:tr w14:paraId="6688B88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bottom w:val="single" w:color="000000" w:sz="12" w:space="0"/>
            </w:tcBorders>
            <w:shd w:val="clear"/>
            <w:noWrap/>
            <w:vAlign w:val="center"/>
          </w:tcPr>
          <w:p w14:paraId="6988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总量表</w:t>
            </w:r>
          </w:p>
        </w:tc>
        <w:tc>
          <w:tcPr>
            <w:tcW w:w="3336" w:type="pct"/>
            <w:tcBorders>
              <w:bottom w:val="single" w:color="000000" w:sz="12" w:space="0"/>
            </w:tcBorders>
            <w:shd w:val="clear"/>
            <w:noWrap/>
            <w:vAlign w:val="center"/>
          </w:tcPr>
          <w:p w14:paraId="3B1D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0.862</w:t>
            </w:r>
          </w:p>
        </w:tc>
      </w:tr>
    </w:tbl>
    <w:p w14:paraId="1494F8B4">
      <w:pPr>
        <w:numPr>
          <w:numId w:val="0"/>
        </w:numPr>
        <w:rPr>
          <w:rFonts w:hint="default"/>
          <w:lang w:val="en-US" w:eastAsia="zh-CN"/>
        </w:rPr>
      </w:pPr>
    </w:p>
    <w:p w14:paraId="033D0C4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研究采用探索性因子分析检验量表的结构效度。首先进行KMO和Bartlett球形度检验，结果显示，KMO值为0.809，满足因子分析的前提要求；Bartlett球形度检验近似卡方值为974.335（df=171,p&lt;0.01），表明数据变量间存在显著相关性，适合开展因子分析。</w:t>
      </w:r>
    </w:p>
    <w:p w14:paraId="24C6B9EA">
      <w:pPr>
        <w:pStyle w:val="5"/>
        <w:jc w:val="center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老年人KMO 和 Bartlett 的检验表</w:t>
      </w:r>
    </w:p>
    <w:tbl>
      <w:tblPr>
        <w:tblStyle w:val="6"/>
        <w:tblW w:w="5007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36"/>
        <w:gridCol w:w="1812"/>
        <w:gridCol w:w="2170"/>
      </w:tblGrid>
      <w:tr w14:paraId="731F8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3695" w:type="pct"/>
            <w:gridSpan w:val="2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C49542C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KMO值</w:t>
            </w:r>
          </w:p>
        </w:tc>
        <w:tc>
          <w:tcPr>
            <w:tcW w:w="1304" w:type="pct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59F647A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lang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lang w:val="en-US" w:eastAsia="zh-CN" w:bidi="ar"/>
              </w:rPr>
              <w:t>809</w:t>
            </w:r>
          </w:p>
        </w:tc>
      </w:tr>
      <w:tr w14:paraId="5C87CF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60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2B1D4A2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Bartlett 球形度检验</w:t>
            </w:r>
          </w:p>
        </w:tc>
        <w:tc>
          <w:tcPr>
            <w:tcW w:w="1089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9E23603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近似卡方</w:t>
            </w:r>
          </w:p>
        </w:tc>
        <w:tc>
          <w:tcPr>
            <w:tcW w:w="1304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67E0A9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lang w:val="en-US" w:eastAsia="zh-CN" w:bidi="ar"/>
              </w:rPr>
              <w:t>974.335</w:t>
            </w:r>
          </w:p>
        </w:tc>
      </w:tr>
      <w:tr w14:paraId="7436FD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  <w:jc w:val="center"/>
        </w:trPr>
        <w:tc>
          <w:tcPr>
            <w:tcW w:w="2606" w:type="pct"/>
            <w:vMerge w:val="continue"/>
            <w:shd w:val="clear" w:color="auto" w:fill="auto"/>
            <w:noWrap/>
            <w:vAlign w:val="center"/>
          </w:tcPr>
          <w:p w14:paraId="27AE65F5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1089" w:type="pct"/>
            <w:shd w:val="clear" w:color="auto" w:fill="auto"/>
            <w:noWrap/>
            <w:vAlign w:val="center"/>
          </w:tcPr>
          <w:p w14:paraId="3FA398E0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lang w:bidi="ar"/>
              </w:rPr>
              <w:t>df</w:t>
            </w:r>
          </w:p>
        </w:tc>
        <w:tc>
          <w:tcPr>
            <w:tcW w:w="1304" w:type="pct"/>
            <w:shd w:val="clear" w:color="auto" w:fill="auto"/>
            <w:noWrap/>
            <w:vAlign w:val="center"/>
          </w:tcPr>
          <w:p w14:paraId="0315763C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lang w:val="en-US" w:eastAsia="zh-CN" w:bidi="ar"/>
              </w:rPr>
              <w:t>171</w:t>
            </w:r>
          </w:p>
        </w:tc>
      </w:tr>
      <w:tr w14:paraId="63E5D5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2606" w:type="pct"/>
            <w:vMerge w:val="continue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48D02CF5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1089" w:type="pct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716CD3A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p 值</w:t>
            </w:r>
          </w:p>
        </w:tc>
        <w:tc>
          <w:tcPr>
            <w:tcW w:w="1304" w:type="pct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D1B3E19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&lt;0.000</w:t>
            </w:r>
          </w:p>
        </w:tc>
      </w:tr>
    </w:tbl>
    <w:p w14:paraId="02B701F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593BD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主成分分析法结合最大方差旋转法提取公因子，共得到5个公因子，与本研究预设的“生活依赖、风险收益、政策适配、社会支持、使用意愿”5个维度完全匹配。由因子载荷系数表可知，各题项在对应公因子上的载荷系数均大于0.7，且在非对应公因子上的载荷系数数值显著偏低，未出现跨维度归属的情况。上述结果表明，本研究量表具有良好的结构效度，能够有效测量研究所需的核心变量。</w:t>
      </w:r>
    </w:p>
    <w:p w14:paraId="17BE095C">
      <w:pPr>
        <w:numPr>
          <w:numId w:val="0"/>
        </w:numPr>
        <w:rPr>
          <w:rFonts w:hint="default"/>
          <w:lang w:val="en-US" w:eastAsia="zh-CN"/>
        </w:rPr>
      </w:pPr>
    </w:p>
    <w:p w14:paraId="70DE77F5">
      <w:pPr>
        <w:pStyle w:val="5"/>
        <w:jc w:val="center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老年人旋转后因子载荷系数表</w:t>
      </w:r>
    </w:p>
    <w:tbl>
      <w:tblPr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1435"/>
        <w:gridCol w:w="1437"/>
        <w:gridCol w:w="1437"/>
        <w:gridCol w:w="1442"/>
        <w:gridCol w:w="1437"/>
      </w:tblGrid>
      <w:tr w14:paraId="5D90EC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vMerge w:val="restart"/>
            <w:tcBorders/>
            <w:shd w:val="clear"/>
            <w:noWrap/>
            <w:vAlign w:val="center"/>
          </w:tcPr>
          <w:p w14:paraId="47803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题项</w:t>
            </w:r>
          </w:p>
        </w:tc>
        <w:tc>
          <w:tcPr>
            <w:tcW w:w="3374" w:type="pct"/>
            <w:gridSpan w:val="4"/>
            <w:tcBorders>
              <w:bottom w:val="single" w:color="auto" w:sz="4" w:space="0"/>
            </w:tcBorders>
            <w:shd w:val="clear"/>
            <w:noWrap/>
            <w:vAlign w:val="center"/>
          </w:tcPr>
          <w:p w14:paraId="2BB49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因子载荷系数</w:t>
            </w:r>
          </w:p>
        </w:tc>
        <w:tc>
          <w:tcPr>
            <w:tcW w:w="843" w:type="pct"/>
            <w:tcBorders>
              <w:bottom w:val="single" w:color="auto" w:sz="4" w:space="0"/>
            </w:tcBorders>
            <w:shd w:val="clear"/>
            <w:noWrap/>
            <w:vAlign w:val="center"/>
          </w:tcPr>
          <w:p w14:paraId="47D2D45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3F6FE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vMerge w:val="continue"/>
            <w:tcBorders>
              <w:tl2br w:val="nil"/>
              <w:tr2bl w:val="nil"/>
            </w:tcBorders>
            <w:shd w:val="clear"/>
            <w:noWrap/>
            <w:vAlign w:val="center"/>
          </w:tcPr>
          <w:p w14:paraId="0D1EB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2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4CC1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生活依赖</w:t>
            </w:r>
          </w:p>
        </w:tc>
        <w:tc>
          <w:tcPr>
            <w:tcW w:w="84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7B099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风险收益</w:t>
            </w:r>
          </w:p>
        </w:tc>
        <w:tc>
          <w:tcPr>
            <w:tcW w:w="84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35B8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政策适配</w:t>
            </w:r>
          </w:p>
        </w:tc>
        <w:tc>
          <w:tcPr>
            <w:tcW w:w="845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0AD3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社会支持</w:t>
            </w:r>
          </w:p>
        </w:tc>
        <w:tc>
          <w:tcPr>
            <w:tcW w:w="84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4852D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使用意愿</w:t>
            </w:r>
          </w:p>
        </w:tc>
      </w:tr>
      <w:tr w14:paraId="60B6BE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150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LD1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DFDB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0.827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1F2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0.118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8580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0.081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50EE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0.022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529E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</w:t>
            </w:r>
          </w:p>
        </w:tc>
      </w:tr>
      <w:tr w14:paraId="0AA5F2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9D51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LD2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4D76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0.813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27B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682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-0.032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CA8E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0.083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BD35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0.209</w:t>
            </w:r>
          </w:p>
        </w:tc>
      </w:tr>
      <w:tr w14:paraId="037F3C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0AAA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LD3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26EF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0.806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D092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E252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0.088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E19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657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0.188</w:t>
            </w:r>
          </w:p>
        </w:tc>
      </w:tr>
      <w:tr w14:paraId="7F67FC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8B3F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LD4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F73A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59FB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4E25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0.092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1C7C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DA1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</w:t>
            </w:r>
          </w:p>
        </w:tc>
      </w:tr>
      <w:tr w14:paraId="7C5953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36AA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RS1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A4F2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0.033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256D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D5E3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0.011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67D8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FD41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0.064</w:t>
            </w:r>
          </w:p>
        </w:tc>
      </w:tr>
      <w:tr w14:paraId="13EC3C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1BF6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RS2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6933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85C4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5FA1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0.183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BA81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61C3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0.21</w:t>
            </w:r>
          </w:p>
        </w:tc>
      </w:tr>
      <w:tr w14:paraId="6B17DC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3B2B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RS3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31AE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1D6F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0.756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6526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0.091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96A0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4FF0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0.149</w:t>
            </w:r>
          </w:p>
        </w:tc>
      </w:tr>
      <w:tr w14:paraId="53B737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51C9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RS4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0B80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9ED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0.734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CB89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0.116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858B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A67E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0.237</w:t>
            </w:r>
          </w:p>
        </w:tc>
      </w:tr>
      <w:tr w14:paraId="7FCFB2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9C72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PA1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0825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173B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0.151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BD25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0.804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8180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2F2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0.181</w:t>
            </w:r>
          </w:p>
        </w:tc>
      </w:tr>
      <w:tr w14:paraId="5445EA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8E4F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PA2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E45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F591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0.078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C25D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0.799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BF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C7D9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</w:t>
            </w:r>
          </w:p>
        </w:tc>
      </w:tr>
      <w:tr w14:paraId="64FBCB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5A84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PA3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BE2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0.113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0643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0.038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3CE7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0.797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415B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0.225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59FF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0.058</w:t>
            </w:r>
          </w:p>
        </w:tc>
      </w:tr>
      <w:tr w14:paraId="771ACF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90A5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PA4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296F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981F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705A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0.765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D0FE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0.042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F70C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0.133</w:t>
            </w:r>
          </w:p>
        </w:tc>
      </w:tr>
      <w:tr w14:paraId="460ECA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F14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SS1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656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3707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DDA2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0.075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6EAF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046C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-0.123</w:t>
            </w:r>
          </w:p>
        </w:tc>
      </w:tr>
      <w:tr w14:paraId="11F92A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353A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SS2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EBD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C9F5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2F4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0.038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4629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0.775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5418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0.167</w:t>
            </w:r>
          </w:p>
        </w:tc>
      </w:tr>
      <w:tr w14:paraId="33528B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DD3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SS3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1DF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726C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3B72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0.132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538A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0.762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B727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0.149</w:t>
            </w:r>
          </w:p>
        </w:tc>
      </w:tr>
      <w:tr w14:paraId="453E577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4F2E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SS4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70F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0554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1432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F38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0.735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B16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0.203</w:t>
            </w:r>
          </w:p>
        </w:tc>
      </w:tr>
      <w:tr w14:paraId="788AE3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0089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UI1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D77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0.118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3A6C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0.173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5A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0.074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60C2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A607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0.794</w:t>
            </w:r>
          </w:p>
        </w:tc>
      </w:tr>
      <w:tr w14:paraId="09729C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139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UI2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C61C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0.217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63F0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0.286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9635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0.126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4109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0.091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7F1A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0.746</w:t>
            </w:r>
          </w:p>
        </w:tc>
      </w:tr>
      <w:tr w14:paraId="3A367F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81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D8A5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UI3</w:t>
            </w:r>
          </w:p>
        </w:tc>
        <w:tc>
          <w:tcPr>
            <w:tcW w:w="84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FFA8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0.267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DA0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0.244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6BAA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0.201</w:t>
            </w:r>
          </w:p>
        </w:tc>
        <w:tc>
          <w:tcPr>
            <w:tcW w:w="845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CAFB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0.124</w:t>
            </w:r>
          </w:p>
        </w:tc>
        <w:tc>
          <w:tcPr>
            <w:tcW w:w="84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14A7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0.706</w:t>
            </w:r>
          </w:p>
        </w:tc>
      </w:tr>
    </w:tbl>
    <w:p w14:paraId="22DDECBF">
      <w:pPr>
        <w:numPr>
          <w:numId w:val="0"/>
        </w:numPr>
        <w:rPr>
          <w:rFonts w:hint="default"/>
          <w:lang w:val="en-US" w:eastAsia="zh-CN"/>
        </w:rPr>
      </w:pPr>
    </w:p>
    <w:p w14:paraId="7B9BF50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子女</w:t>
      </w:r>
    </w:p>
    <w:p w14:paraId="7A1AD9F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对子女预调查回收的83份初始问卷进行严格质量控制，按照标准剔除无效问卷，最终获得有效问卷78份，有效回收率为93.98%。</w:t>
      </w:r>
    </w:p>
    <w:p w14:paraId="287B3BA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采用Cronbach's α系数检验量表内部一致性信度。结果显示，各维度α系数均大于0.8，总量表α系数为0.893，表明量表整体信度良好，测量结果稳定可靠。</w:t>
      </w:r>
    </w:p>
    <w:p w14:paraId="6462F117">
      <w:pPr>
        <w:pStyle w:val="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子女预调查Cronbach信度分析表</w:t>
      </w:r>
    </w:p>
    <w:tbl>
      <w:tblPr>
        <w:tblStyle w:val="6"/>
        <w:tblW w:w="4999" w:type="pct"/>
        <w:tblInd w:w="0" w:type="dxa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5686"/>
      </w:tblGrid>
      <w:tr w14:paraId="4D0269F7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2E5A7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维度</w:t>
            </w:r>
          </w:p>
        </w:tc>
        <w:tc>
          <w:tcPr>
            <w:tcW w:w="3336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auto"/>
            <w:noWrap/>
            <w:vAlign w:val="center"/>
          </w:tcPr>
          <w:p w14:paraId="5219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Cronbach’s Alpha</w:t>
            </w:r>
          </w:p>
        </w:tc>
      </w:tr>
      <w:tr w14:paraId="5DD8F3F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top w:val="single" w:color="000000" w:sz="4" w:space="0"/>
            </w:tcBorders>
            <w:shd w:val="clear" w:color="auto" w:fill="auto"/>
            <w:noWrap/>
            <w:vAlign w:val="center"/>
          </w:tcPr>
          <w:p w14:paraId="764F5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照护价值</w:t>
            </w:r>
          </w:p>
        </w:tc>
        <w:tc>
          <w:tcPr>
            <w:tcW w:w="3336" w:type="pct"/>
            <w:tcBorders>
              <w:top w:val="single" w:color="000000" w:sz="4" w:space="0"/>
            </w:tcBorders>
            <w:shd w:val="clear" w:color="auto" w:fill="auto"/>
            <w:noWrap/>
            <w:vAlign w:val="center"/>
          </w:tcPr>
          <w:p w14:paraId="21297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0.868</w:t>
            </w:r>
          </w:p>
        </w:tc>
      </w:tr>
      <w:tr w14:paraId="4F72294B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shd w:val="clear" w:color="auto" w:fill="auto"/>
            <w:noWrap/>
            <w:vAlign w:val="center"/>
          </w:tcPr>
          <w:p w14:paraId="4F75E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代际责任</w:t>
            </w:r>
          </w:p>
        </w:tc>
        <w:tc>
          <w:tcPr>
            <w:tcW w:w="3336" w:type="pct"/>
            <w:shd w:val="clear" w:color="auto" w:fill="auto"/>
            <w:noWrap/>
            <w:vAlign w:val="center"/>
          </w:tcPr>
          <w:p w14:paraId="5FF0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0.856</w:t>
            </w:r>
          </w:p>
        </w:tc>
      </w:tr>
      <w:tr w14:paraId="02476AD5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shd w:val="clear" w:color="auto" w:fill="auto"/>
            <w:noWrap/>
            <w:vAlign w:val="center"/>
          </w:tcPr>
          <w:p w14:paraId="66A1D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决策便利</w:t>
            </w:r>
          </w:p>
        </w:tc>
        <w:tc>
          <w:tcPr>
            <w:tcW w:w="3336" w:type="pct"/>
            <w:shd w:val="clear" w:color="auto" w:fill="auto"/>
            <w:noWrap/>
            <w:vAlign w:val="center"/>
          </w:tcPr>
          <w:p w14:paraId="71F8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0.857</w:t>
            </w:r>
          </w:p>
        </w:tc>
      </w:tr>
      <w:tr w14:paraId="79A6E27A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shd w:val="clear" w:color="auto" w:fill="auto"/>
            <w:noWrap/>
            <w:vAlign w:val="center"/>
          </w:tcPr>
          <w:p w14:paraId="172B4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资源投入</w:t>
            </w:r>
          </w:p>
        </w:tc>
        <w:tc>
          <w:tcPr>
            <w:tcW w:w="3336" w:type="pct"/>
            <w:shd w:val="clear" w:color="auto" w:fill="auto"/>
            <w:noWrap/>
            <w:vAlign w:val="center"/>
          </w:tcPr>
          <w:p w14:paraId="40A9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0.905</w:t>
            </w:r>
          </w:p>
        </w:tc>
      </w:tr>
      <w:tr w14:paraId="48C2BBE2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shd w:val="clear" w:color="auto" w:fill="auto"/>
            <w:noWrap/>
            <w:vAlign w:val="center"/>
          </w:tcPr>
          <w:p w14:paraId="2EEC4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认知偏差</w:t>
            </w:r>
          </w:p>
        </w:tc>
        <w:tc>
          <w:tcPr>
            <w:tcW w:w="3336" w:type="pct"/>
            <w:shd w:val="clear" w:color="auto" w:fill="auto"/>
            <w:noWrap/>
            <w:vAlign w:val="center"/>
          </w:tcPr>
          <w:p w14:paraId="679C2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0.895</w:t>
            </w:r>
          </w:p>
        </w:tc>
      </w:tr>
      <w:tr w14:paraId="4365CBDF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shd w:val="clear" w:color="auto" w:fill="auto"/>
            <w:noWrap/>
            <w:vAlign w:val="center"/>
          </w:tcPr>
          <w:p w14:paraId="77557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购买意愿</w:t>
            </w:r>
          </w:p>
        </w:tc>
        <w:tc>
          <w:tcPr>
            <w:tcW w:w="3336" w:type="pct"/>
            <w:shd w:val="clear" w:color="auto" w:fill="auto"/>
            <w:noWrap/>
            <w:vAlign w:val="center"/>
          </w:tcPr>
          <w:p w14:paraId="0B3F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0.915</w:t>
            </w:r>
          </w:p>
        </w:tc>
      </w:tr>
      <w:tr w14:paraId="4A398D29"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63" w:type="pct"/>
            <w:tcBorders>
              <w:bottom w:val="single" w:color="000000" w:sz="12" w:space="0"/>
            </w:tcBorders>
            <w:shd w:val="clear" w:color="auto" w:fill="auto"/>
            <w:noWrap/>
            <w:vAlign w:val="center"/>
          </w:tcPr>
          <w:p w14:paraId="2315D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总量表</w:t>
            </w:r>
          </w:p>
        </w:tc>
        <w:tc>
          <w:tcPr>
            <w:tcW w:w="3336" w:type="pct"/>
            <w:tcBorders>
              <w:bottom w:val="single" w:color="000000" w:sz="12" w:space="0"/>
            </w:tcBorders>
            <w:shd w:val="clear" w:color="auto" w:fill="auto"/>
            <w:noWrap/>
            <w:vAlign w:val="center"/>
          </w:tcPr>
          <w:p w14:paraId="2DEFF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0.893</w:t>
            </w:r>
          </w:p>
        </w:tc>
      </w:tr>
    </w:tbl>
    <w:p w14:paraId="6940F5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21B6C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KMO值为0.815，Bartlett球形度检验p&lt;0.01，表明数据适合进行因子分析。</w:t>
      </w:r>
    </w:p>
    <w:p w14:paraId="3816EB96">
      <w:pPr>
        <w:pStyle w:val="5"/>
        <w:jc w:val="center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子女KMO 和 Bartlett 的检验表</w:t>
      </w:r>
    </w:p>
    <w:tbl>
      <w:tblPr>
        <w:tblStyle w:val="6"/>
        <w:tblW w:w="5007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36"/>
        <w:gridCol w:w="1812"/>
        <w:gridCol w:w="2170"/>
      </w:tblGrid>
      <w:tr w14:paraId="30F7E1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3695" w:type="pct"/>
            <w:gridSpan w:val="2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354D5E6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KMO值</w:t>
            </w:r>
          </w:p>
        </w:tc>
        <w:tc>
          <w:tcPr>
            <w:tcW w:w="1304" w:type="pct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DE54F9C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0.815</w:t>
            </w:r>
          </w:p>
        </w:tc>
      </w:tr>
      <w:tr w14:paraId="1CEE4F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2606" w:type="pct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94FEE39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Bartlett 球形度检验</w:t>
            </w:r>
          </w:p>
        </w:tc>
        <w:tc>
          <w:tcPr>
            <w:tcW w:w="1089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A3C1944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近似卡方</w:t>
            </w:r>
          </w:p>
        </w:tc>
        <w:tc>
          <w:tcPr>
            <w:tcW w:w="1304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1508C701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1170.677</w:t>
            </w:r>
          </w:p>
        </w:tc>
      </w:tr>
      <w:tr w14:paraId="4859A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  <w:jc w:val="center"/>
        </w:trPr>
        <w:tc>
          <w:tcPr>
            <w:tcW w:w="2606" w:type="pct"/>
            <w:vMerge w:val="continue"/>
            <w:shd w:val="clear" w:color="auto" w:fill="auto"/>
            <w:noWrap/>
            <w:vAlign w:val="center"/>
          </w:tcPr>
          <w:p w14:paraId="0574B77C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1089" w:type="pct"/>
            <w:shd w:val="clear" w:color="auto" w:fill="auto"/>
            <w:noWrap/>
            <w:vAlign w:val="center"/>
          </w:tcPr>
          <w:p w14:paraId="17E3AE21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4"/>
                <w:lang w:bidi="ar"/>
              </w:rPr>
              <w:t>df</w:t>
            </w:r>
          </w:p>
        </w:tc>
        <w:tc>
          <w:tcPr>
            <w:tcW w:w="1304" w:type="pct"/>
            <w:shd w:val="clear" w:color="auto" w:fill="auto"/>
            <w:noWrap/>
            <w:vAlign w:val="center"/>
          </w:tcPr>
          <w:p w14:paraId="69F99107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253</w:t>
            </w:r>
          </w:p>
        </w:tc>
      </w:tr>
      <w:tr w14:paraId="16CB2F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2606" w:type="pct"/>
            <w:vMerge w:val="continue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9E29418">
            <w:pPr>
              <w:jc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</w:p>
        </w:tc>
        <w:tc>
          <w:tcPr>
            <w:tcW w:w="1089" w:type="pct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283D09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p 值</w:t>
            </w:r>
          </w:p>
        </w:tc>
        <w:tc>
          <w:tcPr>
            <w:tcW w:w="1304" w:type="pct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3751F789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&lt;0.01</w:t>
            </w:r>
          </w:p>
        </w:tc>
      </w:tr>
    </w:tbl>
    <w:p w14:paraId="2168994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224FF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采用主成分分析法结合最大方差旋转，共提取6个公因子，与预设维度完全对应。各题项在所属维度上的因子载荷均大于0.7，表明量表具有良好的结构效度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与区分效度。</w:t>
      </w:r>
    </w:p>
    <w:p w14:paraId="7E84CEA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F33E4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0E0F93">
      <w:pPr>
        <w:pStyle w:val="5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表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SEQ 表 \* ARABIC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6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 xml:space="preserve"> 子女旋转后因子载荷系数表</w:t>
      </w:r>
    </w:p>
    <w:tbl>
      <w:tblPr>
        <w:tblW w:w="4998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1534"/>
        <w:gridCol w:w="1164"/>
        <w:gridCol w:w="1164"/>
        <w:gridCol w:w="1164"/>
        <w:gridCol w:w="1164"/>
        <w:gridCol w:w="1167"/>
      </w:tblGrid>
      <w:tr w14:paraId="1B16F5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vMerge w:val="restart"/>
            <w:tcBorders>
              <w:tl2br w:val="nil"/>
              <w:tr2bl w:val="nil"/>
            </w:tcBorders>
            <w:shd w:val="clear"/>
            <w:noWrap/>
            <w:vAlign w:val="center"/>
          </w:tcPr>
          <w:p w14:paraId="4745E4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题项</w:t>
            </w:r>
          </w:p>
        </w:tc>
        <w:tc>
          <w:tcPr>
            <w:tcW w:w="4317" w:type="pct"/>
            <w:gridSpan w:val="6"/>
            <w:tcBorders>
              <w:bottom w:val="single" w:color="auto" w:sz="4" w:space="0"/>
            </w:tcBorders>
            <w:shd w:val="clear"/>
            <w:noWrap/>
            <w:vAlign w:val="center"/>
          </w:tcPr>
          <w:p w14:paraId="16E4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因子载荷系数</w:t>
            </w:r>
          </w:p>
        </w:tc>
      </w:tr>
      <w:tr w14:paraId="2AA0BE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vMerge w:val="continue"/>
            <w:tcBorders>
              <w:tl2br w:val="nil"/>
              <w:tr2bl w:val="nil"/>
            </w:tcBorders>
            <w:shd w:val="clear"/>
            <w:noWrap/>
            <w:vAlign w:val="center"/>
          </w:tcPr>
          <w:p w14:paraId="25F840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0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66F86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认知偏差</w:t>
            </w:r>
          </w:p>
        </w:tc>
        <w:tc>
          <w:tcPr>
            <w:tcW w:w="68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1E282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照护价值</w:t>
            </w:r>
          </w:p>
        </w:tc>
        <w:tc>
          <w:tcPr>
            <w:tcW w:w="68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3648B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资源投入</w:t>
            </w:r>
          </w:p>
        </w:tc>
        <w:tc>
          <w:tcPr>
            <w:tcW w:w="68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054F8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决策便利</w:t>
            </w:r>
          </w:p>
        </w:tc>
        <w:tc>
          <w:tcPr>
            <w:tcW w:w="683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1A980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代际责任</w:t>
            </w:r>
          </w:p>
        </w:tc>
        <w:tc>
          <w:tcPr>
            <w:tcW w:w="684" w:type="pct"/>
            <w:tcBorders>
              <w:top w:val="single" w:color="auto" w:sz="4" w:space="0"/>
              <w:tl2br w:val="nil"/>
              <w:tr2bl w:val="nil"/>
            </w:tcBorders>
            <w:shd w:val="clear"/>
            <w:noWrap/>
            <w:vAlign w:val="center"/>
          </w:tcPr>
          <w:p w14:paraId="35E1E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购买意愿</w:t>
            </w:r>
          </w:p>
        </w:tc>
      </w:tr>
      <w:tr w14:paraId="6E172E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40BF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CB1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04C3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85B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467D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5C9E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26A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-0.035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28B8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-0.016</w:t>
            </w:r>
          </w:p>
        </w:tc>
      </w:tr>
      <w:tr w14:paraId="17E6B2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F61E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CB2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F216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0.875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F4C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9D40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C8EF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2BD0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0.073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E67D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-0.009</w:t>
            </w:r>
          </w:p>
        </w:tc>
      </w:tr>
      <w:tr w14:paraId="2DA0CD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9E5D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CB3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6276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9DE4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4664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8307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ED9F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0.037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4481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-0.053</w:t>
            </w:r>
          </w:p>
        </w:tc>
      </w:tr>
      <w:tr w14:paraId="3F26DBA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70A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CB4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9911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0.843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C4FC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FA9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1A4C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-0.005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6835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610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0.036</w:t>
            </w:r>
          </w:p>
        </w:tc>
      </w:tr>
      <w:tr w14:paraId="6DE7D8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4BDC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CV1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159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629C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0.856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DA83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779D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78DB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0.053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CD2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0.014</w:t>
            </w:r>
          </w:p>
        </w:tc>
      </w:tr>
      <w:tr w14:paraId="2AFE3F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962D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CV2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CFE3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321E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1233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580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AE99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0.145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5B7C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0.245</w:t>
            </w:r>
          </w:p>
        </w:tc>
      </w:tr>
      <w:tr w14:paraId="18E512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9C7F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CV3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9956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5C45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6683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4D77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6CE2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0.097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0BF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0.176</w:t>
            </w:r>
          </w:p>
        </w:tc>
      </w:tr>
      <w:tr w14:paraId="039C29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B857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CV4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18D6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983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A5E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2BD7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9690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0.181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EF9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0.298</w:t>
            </w:r>
          </w:p>
        </w:tc>
      </w:tr>
      <w:tr w14:paraId="72BFDF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4C0C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5D1F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8D8C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0.264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96CC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0.845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4149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4DF0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0.012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EC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0.067</w:t>
            </w:r>
          </w:p>
        </w:tc>
      </w:tr>
      <w:tr w14:paraId="34639D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8108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6F2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FF85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9F9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0.829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3CE1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CD94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0.086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6E76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0.294</w:t>
            </w:r>
          </w:p>
        </w:tc>
      </w:tr>
      <w:tr w14:paraId="57C18E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DBC5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11FC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B42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0.246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BEEB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051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0.218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5A67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0.091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9C6B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0.236</w:t>
            </w:r>
          </w:p>
        </w:tc>
      </w:tr>
      <w:tr w14:paraId="08FD32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D92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4C6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12C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4CEA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0.718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AD2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0.098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84C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-0.084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7344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0.474</w:t>
            </w:r>
          </w:p>
        </w:tc>
      </w:tr>
      <w:tr w14:paraId="74C645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F0ED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510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21C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0.105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114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7CF7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0.833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F392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-0.044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8B0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0.053</w:t>
            </w:r>
          </w:p>
        </w:tc>
      </w:tr>
      <w:tr w14:paraId="5BE8AB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8AA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F4BD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3BEF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E18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2716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0.804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4406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0.021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EE6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0.182</w:t>
            </w:r>
          </w:p>
        </w:tc>
      </w:tr>
      <w:tr w14:paraId="741FBC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21C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DB4B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D3B6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0BE2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EDE8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0.801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F46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-0.053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A8F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0.119</w:t>
            </w:r>
          </w:p>
        </w:tc>
      </w:tr>
      <w:tr w14:paraId="792468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58C8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DC4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EA0C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546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E63A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0.222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3AA5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933C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-0.008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F8F1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0.038</w:t>
            </w:r>
          </w:p>
        </w:tc>
      </w:tr>
      <w:tr w14:paraId="73688BB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881F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IR1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DC2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3D74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8372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0.071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411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-0.129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A0C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0.849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FB9E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-0.058</w:t>
            </w:r>
          </w:p>
        </w:tc>
      </w:tr>
      <w:tr w14:paraId="5FBCAB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E6BC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IR2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2C75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2E55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9271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0.049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C9A1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0.083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7C938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0.832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F774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0.135</w:t>
            </w:r>
          </w:p>
        </w:tc>
      </w:tr>
      <w:tr w14:paraId="59929E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273D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IR3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18C7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36F8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0215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-0.048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ED38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FC81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0.798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7C2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0.228</w:t>
            </w:r>
          </w:p>
        </w:tc>
      </w:tr>
      <w:tr w14:paraId="46606E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1F7D6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IR4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CFB4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4C7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D48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0.037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4172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BF7C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0.795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5F9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0.114</w:t>
            </w:r>
          </w:p>
        </w:tc>
      </w:tr>
      <w:tr w14:paraId="54337C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F617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PI1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D11B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8F9B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BE1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055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0.157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89D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0.182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B233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0.825</w:t>
            </w:r>
          </w:p>
        </w:tc>
      </w:tr>
      <w:tr w14:paraId="6CA7D3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6CEF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PI2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19A6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-0.071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97B1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0.263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C283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1DF2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0.114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D4E6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0.175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06D11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0.786</w:t>
            </w:r>
          </w:p>
        </w:tc>
      </w:tr>
      <w:tr w14:paraId="7DB3BC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82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9D02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PI3</w:t>
            </w:r>
          </w:p>
        </w:tc>
        <w:tc>
          <w:tcPr>
            <w:tcW w:w="900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377BE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0.011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4B1DA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0.332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675E6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0.25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F24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0.236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23990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0.169</w:t>
            </w:r>
          </w:p>
        </w:tc>
        <w:tc>
          <w:tcPr>
            <w:tcW w:w="684" w:type="pct"/>
            <w:tcBorders>
              <w:tl2br w:val="nil"/>
              <w:tr2bl w:val="nil"/>
            </w:tcBorders>
            <w:shd w:val="clear"/>
            <w:noWrap/>
            <w:vAlign w:val="center"/>
          </w:tcPr>
          <w:p w14:paraId="505C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0.765</w:t>
            </w:r>
          </w:p>
        </w:tc>
      </w:tr>
    </w:tbl>
    <w:p w14:paraId="697CEDCE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5D428"/>
    <w:multiLevelType w:val="singleLevel"/>
    <w:tmpl w:val="8225D4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2504C81"/>
    <w:rsid w:val="37FF7772"/>
    <w:rsid w:val="3B3B6D13"/>
    <w:rsid w:val="463B406B"/>
    <w:rsid w:val="6426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99" w:semiHidden="0" w:name="heading 1"/>
    <w:lsdException w:uiPriority="99" w:semiHidden="0" w:name="heading 2"/>
    <w:lsdException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/>
      <w:b/>
      <w:i/>
      <w:color w:val="000000"/>
      <w:sz w:val="28"/>
      <w:szCs w:val="24"/>
    </w:rPr>
  </w:style>
  <w:style w:type="paragraph" w:styleId="4">
    <w:name w:val="heading 3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/>
      <w:b/>
      <w:color w:val="000000"/>
      <w:sz w:val="26"/>
      <w:szCs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2026-02-23T12:23:08Z</dcterms:created>
  <dc:creator>34633</dc:creator>
  <cp:lastModifiedBy>oiao</cp:lastModifiedBy>
  <dcterms:modified xsi:type="dcterms:W3CDTF">2026-02-23T15:07:43Z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eyJoZGlkIjoiMzEwNTM5NzYwMDRjMzkwZTVkZjY2ODkwMGIxNGU0OTUiLCJ1c2VySWQiOiI5MjcwODYzODkifQ==</vt:lpwstr>
  </property>
  <property fmtid="{D5CDD505-2E9C-101B-9397-08002B2CF9AE}" pid="4" name="ICV">
    <vt:lpwstr>CA9697A726084F4C9E31A0E69490910B_12</vt:lpwstr>
  </property>
</Properties>
</file>