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592F8" w14:textId="6122C711" w:rsidR="00AC3E13" w:rsidRPr="00AC3E13" w:rsidRDefault="00AC3E13" w:rsidP="00AC3E13">
      <w:pPr>
        <w:rPr>
          <w:b/>
          <w:bCs/>
        </w:rPr>
      </w:pPr>
      <w:r>
        <w:rPr>
          <w:rFonts w:hint="eastAsia"/>
          <w:b/>
          <w:bCs/>
        </w:rPr>
        <w:t xml:space="preserve">5 </w:t>
      </w:r>
      <w:r w:rsidRPr="00AC3E13">
        <w:rPr>
          <w:b/>
          <w:bCs/>
        </w:rPr>
        <w:t>Data Sources</w:t>
      </w:r>
    </w:p>
    <w:p w14:paraId="57A3F14F" w14:textId="77777777" w:rsidR="00AC3E13" w:rsidRPr="00AC3E13" w:rsidRDefault="00AC3E13" w:rsidP="00AC3E13">
      <w:pPr>
        <w:rPr>
          <w:b/>
          <w:bCs/>
        </w:rPr>
      </w:pPr>
      <w:r w:rsidRPr="00AC3E13">
        <w:rPr>
          <w:b/>
          <w:bCs/>
        </w:rPr>
        <w:t>This project involves processing publicly available text and utilizing datasets from the public domain to generate nutritional insights. As outlined below, we have selected three specific data sources to ensure the system is populated with accurate, scientifically validated information.</w:t>
      </w:r>
    </w:p>
    <w:p w14:paraId="476D4CE6" w14:textId="77777777" w:rsidR="00AC3E13" w:rsidRPr="00AC3E13" w:rsidRDefault="00AC3E13" w:rsidP="00AC3E13">
      <w:pPr>
        <w:rPr>
          <w:b/>
          <w:bCs/>
        </w:rPr>
      </w:pPr>
      <w:r w:rsidRPr="00AC3E13">
        <w:rPr>
          <w:b/>
          <w:bCs/>
        </w:rPr>
        <w:t>1. Recipe Data: Food.com Dataset To provide a comprehensive library for recipe discovery, we are using a dataset from the public domain hosted on Kaggle, originally sourced from Food.com. This dataset contains over 230,000 entries, including metadata such as ingredient lists and pre-calculated nutritional profiles.</w:t>
      </w:r>
    </w:p>
    <w:p w14:paraId="472BEE4B" w14:textId="77777777" w:rsidR="00AC3E13" w:rsidRPr="00AC3E13" w:rsidRDefault="00AC3E13" w:rsidP="00AC3E13">
      <w:pPr>
        <w:numPr>
          <w:ilvl w:val="0"/>
          <w:numId w:val="1"/>
        </w:numPr>
        <w:rPr>
          <w:b/>
          <w:bCs/>
        </w:rPr>
      </w:pPr>
      <w:r w:rsidRPr="00AC3E13">
        <w:rPr>
          <w:b/>
          <w:bCs/>
        </w:rPr>
        <w:t>Acquisition: The data will be obtained as static CSV files (RAW_recipes.csv) directly from the platform. A Java-based parser will process this data to populate our local SQLite database.</w:t>
      </w:r>
    </w:p>
    <w:p w14:paraId="7B618BCF" w14:textId="77777777" w:rsidR="00AC3E13" w:rsidRPr="00AC3E13" w:rsidRDefault="00AC3E13" w:rsidP="00AC3E13">
      <w:pPr>
        <w:numPr>
          <w:ilvl w:val="0"/>
          <w:numId w:val="1"/>
        </w:numPr>
        <w:rPr>
          <w:b/>
          <w:bCs/>
        </w:rPr>
      </w:pPr>
      <w:r w:rsidRPr="00AC3E13">
        <w:rPr>
          <w:b/>
          <w:bCs/>
        </w:rPr>
        <w:t>Permission: We confirm we are using it with permission, as the dataset is released under a license permitting educational and research use.</w:t>
      </w:r>
    </w:p>
    <w:p w14:paraId="683D78DC" w14:textId="77777777" w:rsidR="00AC3E13" w:rsidRPr="00AC3E13" w:rsidRDefault="00AC3E13" w:rsidP="00AC3E13">
      <w:pPr>
        <w:rPr>
          <w:b/>
          <w:bCs/>
        </w:rPr>
      </w:pPr>
      <w:r w:rsidRPr="00AC3E13">
        <w:rPr>
          <w:b/>
          <w:bCs/>
        </w:rPr>
        <w:t xml:space="preserve">2. Ingredient Data: </w:t>
      </w:r>
      <w:proofErr w:type="spellStart"/>
      <w:r w:rsidRPr="00AC3E13">
        <w:rPr>
          <w:b/>
          <w:bCs/>
        </w:rPr>
        <w:t>CoFID</w:t>
      </w:r>
      <w:proofErr w:type="spellEnd"/>
      <w:r w:rsidRPr="00AC3E13">
        <w:rPr>
          <w:b/>
          <w:bCs/>
        </w:rPr>
        <w:t xml:space="preserve"> (UK Standard) For the specific function of tracking raw ingredients (e.g., logging "100g of raw chicken breast" rather than a full meal), we will </w:t>
      </w:r>
      <w:proofErr w:type="spellStart"/>
      <w:r w:rsidRPr="00AC3E13">
        <w:rPr>
          <w:b/>
          <w:bCs/>
        </w:rPr>
        <w:t>utilise</w:t>
      </w:r>
      <w:proofErr w:type="spellEnd"/>
      <w:r w:rsidRPr="00AC3E13">
        <w:rPr>
          <w:b/>
          <w:bCs/>
        </w:rPr>
        <w:t xml:space="preserve"> McCance and Widdowson’s </w:t>
      </w:r>
      <w:proofErr w:type="gramStart"/>
      <w:r w:rsidRPr="00AC3E13">
        <w:rPr>
          <w:b/>
          <w:bCs/>
        </w:rPr>
        <w:t>The</w:t>
      </w:r>
      <w:proofErr w:type="gramEnd"/>
      <w:r w:rsidRPr="00AC3E13">
        <w:rPr>
          <w:b/>
          <w:bCs/>
        </w:rPr>
        <w:t xml:space="preserve"> Composition of Foods Integrated Dataset (</w:t>
      </w:r>
      <w:proofErr w:type="spellStart"/>
      <w:r w:rsidRPr="00AC3E13">
        <w:rPr>
          <w:b/>
          <w:bCs/>
        </w:rPr>
        <w:t>CoFID</w:t>
      </w:r>
      <w:proofErr w:type="spellEnd"/>
      <w:r w:rsidRPr="00AC3E13">
        <w:rPr>
          <w:b/>
          <w:bCs/>
        </w:rPr>
        <w:t>).</w:t>
      </w:r>
    </w:p>
    <w:p w14:paraId="19528915" w14:textId="77777777" w:rsidR="00AC3E13" w:rsidRPr="00AC3E13" w:rsidRDefault="00AC3E13" w:rsidP="00AC3E13">
      <w:pPr>
        <w:numPr>
          <w:ilvl w:val="0"/>
          <w:numId w:val="2"/>
        </w:numPr>
        <w:rPr>
          <w:b/>
          <w:bCs/>
        </w:rPr>
      </w:pPr>
      <w:r w:rsidRPr="00AC3E13">
        <w:rPr>
          <w:b/>
          <w:bCs/>
        </w:rPr>
        <w:t>Description: Sourced from the UK Government (gov.uk), this dataset provides the nutritional composition of generic foods consumed in the UK.</w:t>
      </w:r>
    </w:p>
    <w:p w14:paraId="0E61B975" w14:textId="77777777" w:rsidR="00AC3E13" w:rsidRPr="00AC3E13" w:rsidRDefault="00AC3E13" w:rsidP="00AC3E13">
      <w:pPr>
        <w:numPr>
          <w:ilvl w:val="0"/>
          <w:numId w:val="2"/>
        </w:numPr>
        <w:rPr>
          <w:b/>
          <w:bCs/>
        </w:rPr>
      </w:pPr>
      <w:r w:rsidRPr="00AC3E13">
        <w:rPr>
          <w:b/>
          <w:bCs/>
        </w:rPr>
        <w:t>Relevance: Using this UK-specific data ensures that when users are tracking their raw ingredient stocks, the nutritional calculations reflect local food standards.</w:t>
      </w:r>
    </w:p>
    <w:p w14:paraId="56147447" w14:textId="77777777" w:rsidR="00AC3E13" w:rsidRPr="00AC3E13" w:rsidRDefault="00AC3E13" w:rsidP="00AC3E13">
      <w:pPr>
        <w:numPr>
          <w:ilvl w:val="0"/>
          <w:numId w:val="2"/>
        </w:numPr>
        <w:rPr>
          <w:b/>
          <w:bCs/>
        </w:rPr>
      </w:pPr>
      <w:r w:rsidRPr="00AC3E13">
        <w:rPr>
          <w:b/>
          <w:bCs/>
        </w:rPr>
        <w:t xml:space="preserve">Permission: This data is published under the Open Government </w:t>
      </w:r>
      <w:proofErr w:type="spellStart"/>
      <w:r w:rsidRPr="00AC3E13">
        <w:rPr>
          <w:b/>
          <w:bCs/>
        </w:rPr>
        <w:t>Licence</w:t>
      </w:r>
      <w:proofErr w:type="spellEnd"/>
      <w:r w:rsidRPr="00AC3E13">
        <w:rPr>
          <w:b/>
          <w:bCs/>
        </w:rPr>
        <w:t xml:space="preserve"> (OGL), which allows for free use and adaptation.</w:t>
      </w:r>
    </w:p>
    <w:p w14:paraId="69BD992A" w14:textId="77777777" w:rsidR="00AC3E13" w:rsidRPr="00AC3E13" w:rsidRDefault="00AC3E13" w:rsidP="00AC3E13">
      <w:pPr>
        <w:rPr>
          <w:b/>
          <w:bCs/>
        </w:rPr>
      </w:pPr>
      <w:r w:rsidRPr="00AC3E13">
        <w:rPr>
          <w:b/>
          <w:bCs/>
        </w:rPr>
        <w:t>3. Nutritional Standards: NCBI Dietary Reference Intakes (DRI) To evaluate the user's diet, the system requires a baseline for nutritional needs. We will use the Dietary Reference Intakes (DRI) tables from the NCBI Bookshelf.</w:t>
      </w:r>
    </w:p>
    <w:p w14:paraId="29A9C424" w14:textId="77777777" w:rsidR="00AC3E13" w:rsidRPr="00AC3E13" w:rsidRDefault="00AC3E13" w:rsidP="00AC3E13">
      <w:pPr>
        <w:numPr>
          <w:ilvl w:val="0"/>
          <w:numId w:val="3"/>
        </w:numPr>
        <w:rPr>
          <w:b/>
          <w:bCs/>
        </w:rPr>
      </w:pPr>
      <w:r w:rsidRPr="00AC3E13">
        <w:rPr>
          <w:b/>
          <w:bCs/>
        </w:rPr>
        <w:t xml:space="preserve">Acquisition: We will extract data from the </w:t>
      </w:r>
      <w:r w:rsidRPr="00AC3E13">
        <w:rPr>
          <w:b/>
          <w:bCs/>
          <w:i/>
          <w:iCs/>
        </w:rPr>
        <w:t>Reference Tables</w:t>
      </w:r>
      <w:r w:rsidRPr="00AC3E13">
        <w:rPr>
          <w:b/>
          <w:bCs/>
        </w:rPr>
        <w:t xml:space="preserve"> for macronutrients, vitamins, and elements to create a structured reference table within the application.</w:t>
      </w:r>
    </w:p>
    <w:p w14:paraId="70D6516C" w14:textId="77777777" w:rsidR="00AC3E13" w:rsidRPr="00AC3E13" w:rsidRDefault="00AC3E13" w:rsidP="00AC3E13">
      <w:pPr>
        <w:numPr>
          <w:ilvl w:val="0"/>
          <w:numId w:val="3"/>
        </w:numPr>
        <w:rPr>
          <w:b/>
          <w:bCs/>
        </w:rPr>
      </w:pPr>
      <w:r w:rsidRPr="00AC3E13">
        <w:rPr>
          <w:b/>
          <w:bCs/>
        </w:rPr>
        <w:t>Permission: As a publication of the US Federal Government, these tables are in the public domain and available for unrestricted use.</w:t>
      </w:r>
    </w:p>
    <w:p w14:paraId="68FE8CD9" w14:textId="77777777" w:rsidR="00AC3E13" w:rsidRPr="00AC3E13" w:rsidRDefault="00AC3E13" w:rsidP="00AC3E13">
      <w:pPr>
        <w:rPr>
          <w:b/>
          <w:bCs/>
        </w:rPr>
      </w:pPr>
      <w:r w:rsidRPr="00AC3E13">
        <w:rPr>
          <w:b/>
          <w:bCs/>
        </w:rPr>
        <w:t>4. Confidentiality of Personal Information The system will generate user-specific data, including dietary logs and raw ingredient tracking history.</w:t>
      </w:r>
    </w:p>
    <w:p w14:paraId="086E6156" w14:textId="77777777" w:rsidR="00AC3E13" w:rsidRPr="00AC3E13" w:rsidRDefault="00AC3E13" w:rsidP="00AC3E13">
      <w:pPr>
        <w:numPr>
          <w:ilvl w:val="0"/>
          <w:numId w:val="4"/>
        </w:numPr>
        <w:rPr>
          <w:b/>
          <w:bCs/>
        </w:rPr>
      </w:pPr>
      <w:r w:rsidRPr="00AC3E13">
        <w:rPr>
          <w:b/>
          <w:bCs/>
        </w:rPr>
        <w:t>Ethical Compliance: To ensure the confidentiality of any personal information, the application is designed with a "Local-First" architecture. All user data is stored strictly on the client’s machine in an encrypted format. No personal data will be uploaded to external servers, ensuring full compliance with data privacy principles.</w:t>
      </w:r>
    </w:p>
    <w:p w14:paraId="0D98E76D" w14:textId="77777777" w:rsidR="00AC3E13" w:rsidRPr="00AC3E13" w:rsidRDefault="00AC3E13" w:rsidP="00AC3E13">
      <w:pPr>
        <w:rPr>
          <w:b/>
          <w:bCs/>
        </w:rPr>
      </w:pPr>
      <w:r w:rsidRPr="00AC3E13">
        <w:rPr>
          <w:b/>
          <w:bCs/>
        </w:rPr>
        <w:pict w14:anchorId="53E1BABC">
          <v:rect id="_x0000_i1036" style="width:0;height:1.5pt" o:hralign="center" o:hrstd="t" o:hr="t" fillcolor="#a0a0a0" stroked="f"/>
        </w:pict>
      </w:r>
    </w:p>
    <w:p w14:paraId="3DF30981" w14:textId="0E3BB2E4" w:rsidR="00AC3E13" w:rsidRPr="00AC3E13" w:rsidRDefault="00AC3E13" w:rsidP="00AC3E13">
      <w:pPr>
        <w:rPr>
          <w:b/>
          <w:bCs/>
        </w:rPr>
      </w:pPr>
      <w:r w:rsidRPr="00AC3E13">
        <w:rPr>
          <w:b/>
          <w:bCs/>
        </w:rPr>
        <w:t xml:space="preserve">References </w:t>
      </w:r>
    </w:p>
    <w:p w14:paraId="2FC06997" w14:textId="77777777" w:rsidR="00AC3E13" w:rsidRPr="00AC3E13" w:rsidRDefault="00AC3E13" w:rsidP="00AC3E13">
      <w:pPr>
        <w:numPr>
          <w:ilvl w:val="0"/>
          <w:numId w:val="5"/>
        </w:numPr>
        <w:rPr>
          <w:b/>
          <w:bCs/>
        </w:rPr>
      </w:pPr>
      <w:r w:rsidRPr="00AC3E13">
        <w:rPr>
          <w:b/>
          <w:bCs/>
        </w:rPr>
        <w:t xml:space="preserve">Food.com Dataset: Majumder, B. et al. (2019) </w:t>
      </w:r>
      <w:r w:rsidRPr="00AC3E13">
        <w:rPr>
          <w:b/>
          <w:bCs/>
          <w:i/>
          <w:iCs/>
        </w:rPr>
        <w:t>Food.com Recipes and Interactions</w:t>
      </w:r>
      <w:r w:rsidRPr="00AC3E13">
        <w:rPr>
          <w:b/>
          <w:bCs/>
        </w:rPr>
        <w:t xml:space="preserve">, Kaggle. Available at: </w:t>
      </w:r>
      <w:hyperlink r:id="rId5" w:tgtFrame="_blank" w:history="1">
        <w:r w:rsidRPr="00AC3E13">
          <w:rPr>
            <w:rStyle w:val="ae"/>
            <w:b/>
            <w:bCs/>
          </w:rPr>
          <w:t>https://www.kaggle.com/datasets/shuyangli94/food-com-recipes-and-user-interactions</w:t>
        </w:r>
      </w:hyperlink>
      <w:r w:rsidRPr="00AC3E13">
        <w:rPr>
          <w:b/>
          <w:bCs/>
        </w:rPr>
        <w:t xml:space="preserve"> (Accessed: 15 February 2026).</w:t>
      </w:r>
    </w:p>
    <w:p w14:paraId="039F8387" w14:textId="77777777" w:rsidR="00AC3E13" w:rsidRPr="00AC3E13" w:rsidRDefault="00AC3E13" w:rsidP="00AC3E13">
      <w:pPr>
        <w:numPr>
          <w:ilvl w:val="0"/>
          <w:numId w:val="5"/>
        </w:numPr>
        <w:rPr>
          <w:b/>
          <w:bCs/>
        </w:rPr>
      </w:pPr>
      <w:proofErr w:type="spellStart"/>
      <w:r w:rsidRPr="00AC3E13">
        <w:rPr>
          <w:b/>
          <w:bCs/>
        </w:rPr>
        <w:t>CoFID</w:t>
      </w:r>
      <w:proofErr w:type="spellEnd"/>
      <w:r w:rsidRPr="00AC3E13">
        <w:rPr>
          <w:b/>
          <w:bCs/>
        </w:rPr>
        <w:t xml:space="preserve"> Dataset: Public Health England (2021) </w:t>
      </w:r>
      <w:r w:rsidRPr="00AC3E13">
        <w:rPr>
          <w:b/>
          <w:bCs/>
          <w:i/>
          <w:iCs/>
        </w:rPr>
        <w:t xml:space="preserve">McCance and Widdowson’s </w:t>
      </w:r>
      <w:proofErr w:type="gramStart"/>
      <w:r w:rsidRPr="00AC3E13">
        <w:rPr>
          <w:b/>
          <w:bCs/>
          <w:i/>
          <w:iCs/>
        </w:rPr>
        <w:t>The</w:t>
      </w:r>
      <w:proofErr w:type="gramEnd"/>
      <w:r w:rsidRPr="00AC3E13">
        <w:rPr>
          <w:b/>
          <w:bCs/>
          <w:i/>
          <w:iCs/>
        </w:rPr>
        <w:t xml:space="preserve"> </w:t>
      </w:r>
      <w:r w:rsidRPr="00AC3E13">
        <w:rPr>
          <w:b/>
          <w:bCs/>
          <w:i/>
          <w:iCs/>
        </w:rPr>
        <w:lastRenderedPageBreak/>
        <w:t>Composition of Foods Integrated Dataset (</w:t>
      </w:r>
      <w:proofErr w:type="spellStart"/>
      <w:r w:rsidRPr="00AC3E13">
        <w:rPr>
          <w:b/>
          <w:bCs/>
          <w:i/>
          <w:iCs/>
        </w:rPr>
        <w:t>CoFID</w:t>
      </w:r>
      <w:proofErr w:type="spellEnd"/>
      <w:r w:rsidRPr="00AC3E13">
        <w:rPr>
          <w:b/>
          <w:bCs/>
          <w:i/>
          <w:iCs/>
        </w:rPr>
        <w:t>)</w:t>
      </w:r>
      <w:r w:rsidRPr="00AC3E13">
        <w:rPr>
          <w:b/>
          <w:bCs/>
        </w:rPr>
        <w:t xml:space="preserve">. Available at: </w:t>
      </w:r>
      <w:hyperlink r:id="rId6" w:tgtFrame="_blank" w:history="1">
        <w:r w:rsidRPr="00AC3E13">
          <w:rPr>
            <w:rStyle w:val="ae"/>
            <w:b/>
            <w:bCs/>
          </w:rPr>
          <w:t>https://www.gov.uk/government/publications/composition-of-foods-integrated-dataset-cofid</w:t>
        </w:r>
      </w:hyperlink>
      <w:r w:rsidRPr="00AC3E13">
        <w:rPr>
          <w:b/>
          <w:bCs/>
        </w:rPr>
        <w:t xml:space="preserve"> (Accessed: 15 February 2026).</w:t>
      </w:r>
    </w:p>
    <w:p w14:paraId="198571F7" w14:textId="46C9F89F" w:rsidR="00AC3E13" w:rsidRPr="00AC3E13" w:rsidRDefault="00AC3E13" w:rsidP="00AC3E13">
      <w:pPr>
        <w:numPr>
          <w:ilvl w:val="0"/>
          <w:numId w:val="5"/>
        </w:numPr>
        <w:rPr>
          <w:b/>
          <w:bCs/>
        </w:rPr>
      </w:pPr>
      <w:r w:rsidRPr="00AC3E13">
        <w:rPr>
          <w:b/>
          <w:bCs/>
        </w:rPr>
        <w:t xml:space="preserve">NCBI DRI Tables: Institute of Medicine (US) Committee to Review Dietary Reference Intakes for Vitamin D and Calcium (2011) 'Dietary Reference Intakes for Adequacy', in Ross, A.C. et al. (eds.) </w:t>
      </w:r>
      <w:r w:rsidRPr="00AC3E13">
        <w:rPr>
          <w:b/>
          <w:bCs/>
          <w:i/>
          <w:iCs/>
        </w:rPr>
        <w:t>Dietary Reference Intakes for Calcium and Vitamin D</w:t>
      </w:r>
      <w:r w:rsidRPr="00AC3E13">
        <w:rPr>
          <w:b/>
          <w:bCs/>
        </w:rPr>
        <w:t xml:space="preserve">. Washington (DC): National Academies Press (US). Available at: </w:t>
      </w:r>
      <w:r w:rsidRPr="00AC3E13">
        <w:rPr>
          <w:rFonts w:hint="eastAsia"/>
          <w:b/>
          <w:bCs/>
        </w:rPr>
        <w:t>https://www.ncbi.nlm.nih.gov/books/NBK208874/</w:t>
      </w:r>
      <w:r>
        <w:rPr>
          <w:rFonts w:hint="eastAsia"/>
          <w:b/>
          <w:bCs/>
        </w:rPr>
        <w:t xml:space="preserve"> </w:t>
      </w:r>
      <w:r w:rsidRPr="00AC3E13">
        <w:rPr>
          <w:b/>
          <w:bCs/>
        </w:rPr>
        <w:t>(Accessed: 15 February 2026).</w:t>
      </w:r>
    </w:p>
    <w:p w14:paraId="73D662E7" w14:textId="77777777" w:rsidR="008C1EA3" w:rsidRPr="00AC3E13" w:rsidRDefault="008C1EA3">
      <w:pPr>
        <w:rPr>
          <w:rFonts w:hint="eastAsia"/>
        </w:rPr>
      </w:pPr>
    </w:p>
    <w:sectPr w:rsidR="008C1EA3" w:rsidRPr="00AC3E1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A59BD"/>
    <w:multiLevelType w:val="multilevel"/>
    <w:tmpl w:val="EF2A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B325CA"/>
    <w:multiLevelType w:val="multilevel"/>
    <w:tmpl w:val="C59EC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8E1C58"/>
    <w:multiLevelType w:val="multilevel"/>
    <w:tmpl w:val="34086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4113E6"/>
    <w:multiLevelType w:val="multilevel"/>
    <w:tmpl w:val="446EA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54071B"/>
    <w:multiLevelType w:val="multilevel"/>
    <w:tmpl w:val="A3B4D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893970">
    <w:abstractNumId w:val="2"/>
  </w:num>
  <w:num w:numId="2" w16cid:durableId="642277105">
    <w:abstractNumId w:val="4"/>
  </w:num>
  <w:num w:numId="3" w16cid:durableId="944920822">
    <w:abstractNumId w:val="0"/>
  </w:num>
  <w:num w:numId="4" w16cid:durableId="731268121">
    <w:abstractNumId w:val="1"/>
  </w:num>
  <w:num w:numId="5" w16cid:durableId="9786146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4C3"/>
    <w:rsid w:val="000812A3"/>
    <w:rsid w:val="002F3437"/>
    <w:rsid w:val="00712A12"/>
    <w:rsid w:val="0075727B"/>
    <w:rsid w:val="008C1EA3"/>
    <w:rsid w:val="009D64C3"/>
    <w:rsid w:val="00A14D1C"/>
    <w:rsid w:val="00A62945"/>
    <w:rsid w:val="00AC3E13"/>
    <w:rsid w:val="00F326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2E08D8"/>
  <w15:chartTrackingRefBased/>
  <w15:docId w15:val="{9A20E3D2-204F-4AF7-8D7B-20A58E592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D64C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D64C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D64C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D64C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D64C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9D64C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D64C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D64C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D64C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D64C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D64C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D64C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D64C3"/>
    <w:rPr>
      <w:rFonts w:cstheme="majorBidi"/>
      <w:color w:val="0F4761" w:themeColor="accent1" w:themeShade="BF"/>
      <w:sz w:val="28"/>
      <w:szCs w:val="28"/>
    </w:rPr>
  </w:style>
  <w:style w:type="character" w:customStyle="1" w:styleId="50">
    <w:name w:val="标题 5 字符"/>
    <w:basedOn w:val="a0"/>
    <w:link w:val="5"/>
    <w:uiPriority w:val="9"/>
    <w:semiHidden/>
    <w:rsid w:val="009D64C3"/>
    <w:rPr>
      <w:rFonts w:cstheme="majorBidi"/>
      <w:color w:val="0F4761" w:themeColor="accent1" w:themeShade="BF"/>
      <w:sz w:val="24"/>
      <w:szCs w:val="24"/>
    </w:rPr>
  </w:style>
  <w:style w:type="character" w:customStyle="1" w:styleId="60">
    <w:name w:val="标题 6 字符"/>
    <w:basedOn w:val="a0"/>
    <w:link w:val="6"/>
    <w:uiPriority w:val="9"/>
    <w:semiHidden/>
    <w:rsid w:val="009D64C3"/>
    <w:rPr>
      <w:rFonts w:cstheme="majorBidi"/>
      <w:b/>
      <w:bCs/>
      <w:color w:val="0F4761" w:themeColor="accent1" w:themeShade="BF"/>
    </w:rPr>
  </w:style>
  <w:style w:type="character" w:customStyle="1" w:styleId="70">
    <w:name w:val="标题 7 字符"/>
    <w:basedOn w:val="a0"/>
    <w:link w:val="7"/>
    <w:uiPriority w:val="9"/>
    <w:semiHidden/>
    <w:rsid w:val="009D64C3"/>
    <w:rPr>
      <w:rFonts w:cstheme="majorBidi"/>
      <w:b/>
      <w:bCs/>
      <w:color w:val="595959" w:themeColor="text1" w:themeTint="A6"/>
    </w:rPr>
  </w:style>
  <w:style w:type="character" w:customStyle="1" w:styleId="80">
    <w:name w:val="标题 8 字符"/>
    <w:basedOn w:val="a0"/>
    <w:link w:val="8"/>
    <w:uiPriority w:val="9"/>
    <w:semiHidden/>
    <w:rsid w:val="009D64C3"/>
    <w:rPr>
      <w:rFonts w:cstheme="majorBidi"/>
      <w:color w:val="595959" w:themeColor="text1" w:themeTint="A6"/>
    </w:rPr>
  </w:style>
  <w:style w:type="character" w:customStyle="1" w:styleId="90">
    <w:name w:val="标题 9 字符"/>
    <w:basedOn w:val="a0"/>
    <w:link w:val="9"/>
    <w:uiPriority w:val="9"/>
    <w:semiHidden/>
    <w:rsid w:val="009D64C3"/>
    <w:rPr>
      <w:rFonts w:eastAsiaTheme="majorEastAsia" w:cstheme="majorBidi"/>
      <w:color w:val="595959" w:themeColor="text1" w:themeTint="A6"/>
    </w:rPr>
  </w:style>
  <w:style w:type="paragraph" w:styleId="a3">
    <w:name w:val="Title"/>
    <w:basedOn w:val="a"/>
    <w:next w:val="a"/>
    <w:link w:val="a4"/>
    <w:uiPriority w:val="10"/>
    <w:qFormat/>
    <w:rsid w:val="009D64C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D64C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D64C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D64C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D64C3"/>
    <w:pPr>
      <w:spacing w:before="160" w:after="160"/>
      <w:jc w:val="center"/>
    </w:pPr>
    <w:rPr>
      <w:i/>
      <w:iCs/>
      <w:color w:val="404040" w:themeColor="text1" w:themeTint="BF"/>
    </w:rPr>
  </w:style>
  <w:style w:type="character" w:customStyle="1" w:styleId="a8">
    <w:name w:val="引用 字符"/>
    <w:basedOn w:val="a0"/>
    <w:link w:val="a7"/>
    <w:uiPriority w:val="29"/>
    <w:rsid w:val="009D64C3"/>
    <w:rPr>
      <w:i/>
      <w:iCs/>
      <w:color w:val="404040" w:themeColor="text1" w:themeTint="BF"/>
    </w:rPr>
  </w:style>
  <w:style w:type="paragraph" w:styleId="a9">
    <w:name w:val="List Paragraph"/>
    <w:basedOn w:val="a"/>
    <w:uiPriority w:val="34"/>
    <w:qFormat/>
    <w:rsid w:val="009D64C3"/>
    <w:pPr>
      <w:ind w:left="720"/>
      <w:contextualSpacing/>
    </w:pPr>
  </w:style>
  <w:style w:type="character" w:styleId="aa">
    <w:name w:val="Intense Emphasis"/>
    <w:basedOn w:val="a0"/>
    <w:uiPriority w:val="21"/>
    <w:qFormat/>
    <w:rsid w:val="009D64C3"/>
    <w:rPr>
      <w:i/>
      <w:iCs/>
      <w:color w:val="0F4761" w:themeColor="accent1" w:themeShade="BF"/>
    </w:rPr>
  </w:style>
  <w:style w:type="paragraph" w:styleId="ab">
    <w:name w:val="Intense Quote"/>
    <w:basedOn w:val="a"/>
    <w:next w:val="a"/>
    <w:link w:val="ac"/>
    <w:uiPriority w:val="30"/>
    <w:qFormat/>
    <w:rsid w:val="009D64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D64C3"/>
    <w:rPr>
      <w:i/>
      <w:iCs/>
      <w:color w:val="0F4761" w:themeColor="accent1" w:themeShade="BF"/>
    </w:rPr>
  </w:style>
  <w:style w:type="character" w:styleId="ad">
    <w:name w:val="Intense Reference"/>
    <w:basedOn w:val="a0"/>
    <w:uiPriority w:val="32"/>
    <w:qFormat/>
    <w:rsid w:val="009D64C3"/>
    <w:rPr>
      <w:b/>
      <w:bCs/>
      <w:smallCaps/>
      <w:color w:val="0F4761" w:themeColor="accent1" w:themeShade="BF"/>
      <w:spacing w:val="5"/>
    </w:rPr>
  </w:style>
  <w:style w:type="character" w:styleId="ae">
    <w:name w:val="Hyperlink"/>
    <w:basedOn w:val="a0"/>
    <w:uiPriority w:val="99"/>
    <w:unhideWhenUsed/>
    <w:rsid w:val="00AC3E13"/>
    <w:rPr>
      <w:color w:val="467886" w:themeColor="hyperlink"/>
      <w:u w:val="single"/>
    </w:rPr>
  </w:style>
  <w:style w:type="character" w:styleId="af">
    <w:name w:val="Unresolved Mention"/>
    <w:basedOn w:val="a0"/>
    <w:uiPriority w:val="99"/>
    <w:semiHidden/>
    <w:unhideWhenUsed/>
    <w:rsid w:val="00AC3E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v.uk/government/publications/composition-of-foods-integrated-dataset-cofid" TargetMode="External"/><Relationship Id="rId5" Type="http://schemas.openxmlformats.org/officeDocument/2006/relationships/hyperlink" Target="https://www.kaggle.com/datasets/shuyangli94/food-com-recipes-and-user-interactions"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Pages>
  <Words>948</Words>
  <Characters>2779</Characters>
  <Application>Microsoft Office Word</Application>
  <DocSecurity>0</DocSecurity>
  <Lines>57</Lines>
  <Paragraphs>24</Paragraphs>
  <ScaleCrop>false</ScaleCrop>
  <Company/>
  <LinksUpToDate>false</LinksUpToDate>
  <CharactersWithSpaces>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崩溃 好</dc:creator>
  <cp:keywords/>
  <dc:description/>
  <cp:lastModifiedBy>崩溃 好</cp:lastModifiedBy>
  <cp:revision>5</cp:revision>
  <dcterms:created xsi:type="dcterms:W3CDTF">2026-02-12T13:48:00Z</dcterms:created>
  <dcterms:modified xsi:type="dcterms:W3CDTF">2026-02-15T02:25:00Z</dcterms:modified>
</cp:coreProperties>
</file>