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A2B1" w14:textId="77777777" w:rsidR="00C33F3A" w:rsidRPr="00C33F3A" w:rsidRDefault="00C33F3A" w:rsidP="00C33F3A">
      <w:pPr>
        <w:rPr>
          <w:rFonts w:hint="eastAsia"/>
          <w:b/>
          <w:bCs/>
          <w:sz w:val="24"/>
          <w:szCs w:val="28"/>
        </w:rPr>
      </w:pPr>
      <w:r w:rsidRPr="00C33F3A">
        <w:rPr>
          <w:rFonts w:hint="eastAsia"/>
          <w:b/>
          <w:bCs/>
          <w:sz w:val="24"/>
          <w:szCs w:val="28"/>
        </w:rPr>
        <w:t>Literature and Background Reading</w:t>
      </w:r>
    </w:p>
    <w:p w14:paraId="461077DD" w14:textId="77777777" w:rsidR="003B4FE5" w:rsidRPr="003B4FE5" w:rsidRDefault="003B4FE5" w:rsidP="003B4FE5">
      <w:pPr>
        <w:widowControl/>
      </w:pPr>
      <w:r w:rsidRPr="003B4FE5">
        <w:t xml:space="preserve">Existing dietary applications provide useful design references for our system. For example, MyFitnessPal [1] allows users to log meals and automatically track calorie intake through </w:t>
      </w:r>
      <w:proofErr w:type="spellStart"/>
      <w:r w:rsidRPr="003B4FE5">
        <w:t>personalised</w:t>
      </w:r>
      <w:proofErr w:type="spellEnd"/>
      <w:r w:rsidRPr="003B4FE5">
        <w:t xml:space="preserve"> user profiles. We adopt a similar approach by allowing users to enter physical data such as height and weight. This information is then used to calculate nutritional requirements. Unlike traditional tracking apps, our system extends this functionality by providing automated recipe recommendations instead of relying solely on manual food logging.</w:t>
      </w:r>
    </w:p>
    <w:p w14:paraId="00D32C76" w14:textId="77777777" w:rsidR="003B4FE5" w:rsidRPr="003B4FE5" w:rsidRDefault="003B4FE5" w:rsidP="003B4FE5">
      <w:pPr>
        <w:widowControl/>
      </w:pPr>
      <w:r w:rsidRPr="003B4FE5">
        <w:t xml:space="preserve">Research has shown that monitoring dietary </w:t>
      </w:r>
      <w:proofErr w:type="spellStart"/>
      <w:r w:rsidRPr="003B4FE5">
        <w:t>behaviour</w:t>
      </w:r>
      <w:proofErr w:type="spellEnd"/>
      <w:r w:rsidRPr="003B4FE5">
        <w:t xml:space="preserve"> and nutritional indicators improves users’ awareness of healthy habits and supports </w:t>
      </w:r>
      <w:proofErr w:type="spellStart"/>
      <w:r w:rsidRPr="003B4FE5">
        <w:t>behavioural</w:t>
      </w:r>
      <w:proofErr w:type="spellEnd"/>
      <w:r w:rsidRPr="003B4FE5">
        <w:t xml:space="preserve"> change [2]. Therefore, BMI and calorie requirement calculations are incorporated into the system. These calculations provide </w:t>
      </w:r>
      <w:proofErr w:type="spellStart"/>
      <w:r w:rsidRPr="003B4FE5">
        <w:t>personalised</w:t>
      </w:r>
      <w:proofErr w:type="spellEnd"/>
      <w:r w:rsidRPr="003B4FE5">
        <w:t xml:space="preserve">, data-driven dietary </w:t>
      </w:r>
      <w:proofErr w:type="gramStart"/>
      <w:r w:rsidRPr="003B4FE5">
        <w:t>guidance</w:t>
      </w:r>
      <w:proofErr w:type="gramEnd"/>
      <w:r w:rsidRPr="003B4FE5">
        <w:t xml:space="preserve"> tailored to individual users.</w:t>
      </w:r>
    </w:p>
    <w:p w14:paraId="405D4FCF" w14:textId="77777777" w:rsidR="003B4FE5" w:rsidRPr="003B4FE5" w:rsidRDefault="003B4FE5" w:rsidP="003B4FE5">
      <w:pPr>
        <w:widowControl/>
      </w:pPr>
      <w:r w:rsidRPr="003B4FE5">
        <w:t xml:space="preserve">Studies on food recommender systems, such as the </w:t>
      </w:r>
      <w:proofErr w:type="spellStart"/>
      <w:r w:rsidRPr="003B4FE5">
        <w:t>PREfER</w:t>
      </w:r>
      <w:proofErr w:type="spellEnd"/>
      <w:r w:rsidRPr="003B4FE5">
        <w:t xml:space="preserve"> system [3], demonstrate that </w:t>
      </w:r>
      <w:proofErr w:type="spellStart"/>
      <w:r w:rsidRPr="003B4FE5">
        <w:t>personalised</w:t>
      </w:r>
      <w:proofErr w:type="spellEnd"/>
      <w:r w:rsidRPr="003B4FE5">
        <w:t xml:space="preserve"> recommendation algorithms increase user engagement compared with static recipe databases. Rather than requiring users to search for meals manually, recommendation systems can automatically suggest suitable options. Based on these findings, our system implements adaptive recipe suggestions. These recommendations respond to user preferences and interaction history, allowing more relevant meal suggestions over time.</w:t>
      </w:r>
    </w:p>
    <w:p w14:paraId="56CB80BB" w14:textId="77777777" w:rsidR="003B4FE5" w:rsidRPr="003B4FE5" w:rsidRDefault="003B4FE5" w:rsidP="003B4FE5">
      <w:pPr>
        <w:widowControl/>
      </w:pPr>
      <w:r w:rsidRPr="003B4FE5">
        <w:t>Recent advances in computer vision enable automatic dietary assessment through food image recognition. Deep learning models have been shown to accurately identify food items and estimate nutritional values from images [4], [5]. Manual food entry can be time-consuming and prone to error. Image-based estimation reduces user effort while improving usability. For this reason, our system includes an image recognition feature that allows users to photograph meals and receive estimated nutritional information automatically.</w:t>
      </w:r>
    </w:p>
    <w:p w14:paraId="581664A4" w14:textId="77777777" w:rsidR="003B4FE5" w:rsidRPr="003B4FE5" w:rsidRDefault="003B4FE5" w:rsidP="003B4FE5">
      <w:pPr>
        <w:widowControl/>
      </w:pPr>
      <w:proofErr w:type="spellStart"/>
      <w:r w:rsidRPr="003B4FE5">
        <w:t>Behavioural</w:t>
      </w:r>
      <w:proofErr w:type="spellEnd"/>
      <w:r w:rsidRPr="003B4FE5">
        <w:t xml:space="preserve"> research highlights the importance of social interaction in supporting long-term lifestyle change. Studies of online health communities show that peer discussion and shared experiences increase motivation and engagement [6]. Similarly, smartphone-based support groups have been shown to improve adherence to healthy eating </w:t>
      </w:r>
      <w:proofErr w:type="spellStart"/>
      <w:r w:rsidRPr="003B4FE5">
        <w:t>behaviours</w:t>
      </w:r>
      <w:proofErr w:type="spellEnd"/>
      <w:r w:rsidRPr="003B4FE5">
        <w:t xml:space="preserve"> in daily life [7]. Based on these findings, our system incorporates a recipe forum. This forum allows users to share recipes, exchange experiences, and encourage one another.</w:t>
      </w:r>
    </w:p>
    <w:p w14:paraId="6E1FD831" w14:textId="77777777" w:rsidR="003B4FE5" w:rsidRPr="003B4FE5" w:rsidRDefault="003B4FE5" w:rsidP="003B4FE5">
      <w:pPr>
        <w:widowControl/>
      </w:pPr>
      <w:r w:rsidRPr="003B4FE5">
        <w:lastRenderedPageBreak/>
        <w:t xml:space="preserve">Because the system processes personal and health-related data, privacy and security are essential design considerations. The General Data Protection Regulation (GDPR) establishes requirements for secure personal data processing and informed user consent [8]. In addition, OWASP security guidelines identify common web vulnerabilities such as SQL injection and broken </w:t>
      </w:r>
      <w:proofErr w:type="gramStart"/>
      <w:r w:rsidRPr="003B4FE5">
        <w:t>authentication, and</w:t>
      </w:r>
      <w:proofErr w:type="gramEnd"/>
      <w:r w:rsidRPr="003B4FE5">
        <w:t xml:space="preserve"> recommend mitigation techniques including password hashing and secure session management [9]. Guided by these principles, our system implements secure login functionality and protected data storage mechanisms.</w:t>
      </w:r>
    </w:p>
    <w:p w14:paraId="663E117A" w14:textId="5E6E3C69" w:rsidR="00C33F3A" w:rsidRDefault="00C33F3A" w:rsidP="00C33F3A">
      <w:pPr>
        <w:widowControl/>
        <w:rPr>
          <w:rFonts w:hint="eastAsia"/>
        </w:rPr>
      </w:pPr>
      <w:r>
        <w:rPr>
          <w:rFonts w:hint="eastAsia"/>
        </w:rPr>
        <w:br w:type="page"/>
      </w:r>
    </w:p>
    <w:p w14:paraId="03047138" w14:textId="77777777" w:rsidR="00C33F3A" w:rsidRPr="00C33F3A" w:rsidRDefault="00C33F3A" w:rsidP="00C33F3A">
      <w:pPr>
        <w:rPr>
          <w:b/>
          <w:bCs/>
          <w:sz w:val="24"/>
          <w:szCs w:val="28"/>
        </w:rPr>
      </w:pPr>
      <w:r w:rsidRPr="00C33F3A">
        <w:rPr>
          <w:rFonts w:hint="eastAsia"/>
          <w:b/>
          <w:bCs/>
          <w:sz w:val="24"/>
          <w:szCs w:val="28"/>
        </w:rPr>
        <w:lastRenderedPageBreak/>
        <w:t>References:</w:t>
      </w:r>
    </w:p>
    <w:p w14:paraId="3FE4F8B5" w14:textId="6FA63A50" w:rsidR="00C33F3A" w:rsidRDefault="00C33F3A" w:rsidP="00C33F3A">
      <w:pPr>
        <w:rPr>
          <w:rFonts w:hint="eastAsia"/>
        </w:rPr>
      </w:pPr>
      <w:r>
        <w:br/>
      </w:r>
      <w:r>
        <w:rPr>
          <w:rFonts w:hint="eastAsia"/>
        </w:rPr>
        <w:t>[1] MyFitnessPal Inc., “MyFitnessPal: Calorie Counter and Diet Tracker,” [Online]. Available: https://www.myfitnesspal.com. [Accessed: Feb. 18, 2026].</w:t>
      </w:r>
    </w:p>
    <w:p w14:paraId="571647A0" w14:textId="5718145C" w:rsidR="00345A3F" w:rsidRPr="002301AC" w:rsidRDefault="00652B28" w:rsidP="00C33F3A">
      <w:pPr>
        <w:rPr>
          <w:rFonts w:hint="eastAsia"/>
        </w:rPr>
      </w:pPr>
      <w:r w:rsidRPr="00652B28">
        <w:t>[</w:t>
      </w:r>
      <w:r>
        <w:rPr>
          <w:rFonts w:hint="eastAsia"/>
        </w:rPr>
        <w:t>2</w:t>
      </w:r>
      <w:r w:rsidRPr="00652B28">
        <w:t>]</w:t>
      </w:r>
      <w:r>
        <w:rPr>
          <w:rFonts w:hint="eastAsia"/>
        </w:rPr>
        <w:t xml:space="preserve"> </w:t>
      </w:r>
      <w:r w:rsidRPr="00652B28">
        <w:t xml:space="preserve">A. Chatterjee, R. Bajpai, and M. W. </w:t>
      </w:r>
      <w:proofErr w:type="gramStart"/>
      <w:r w:rsidRPr="00652B28">
        <w:t>Gerdes, ‘</w:t>
      </w:r>
      <w:proofErr w:type="gramEnd"/>
      <w:r w:rsidRPr="00652B28">
        <w:t xml:space="preserve">Analyze the Impact of Healthy Behavior on Weight Change with a Mathematical Model using the Harris-Benedict Equations’, Jun. 03, 2021, </w:t>
      </w:r>
      <w:r w:rsidRPr="00652B28">
        <w:rPr>
          <w:i/>
          <w:iCs/>
        </w:rPr>
        <w:t>In Review</w:t>
      </w:r>
      <w:r w:rsidRPr="00652B28">
        <w:t xml:space="preserve">. </w:t>
      </w:r>
      <w:proofErr w:type="spellStart"/>
      <w:r w:rsidRPr="00652B28">
        <w:t>doi</w:t>
      </w:r>
      <w:proofErr w:type="spellEnd"/>
      <w:r w:rsidRPr="00652B28">
        <w:t xml:space="preserve">: </w:t>
      </w:r>
      <w:hyperlink r:id="rId4" w:history="1">
        <w:r w:rsidRPr="00652B28">
          <w:rPr>
            <w:rStyle w:val="ae"/>
          </w:rPr>
          <w:t>10.21203/rs.3.rs-584141/v1</w:t>
        </w:r>
      </w:hyperlink>
      <w:r w:rsidRPr="00652B28">
        <w:t>.</w:t>
      </w:r>
    </w:p>
    <w:p w14:paraId="0C9A5982" w14:textId="51D1ECA8" w:rsidR="002301AC" w:rsidRPr="002301AC" w:rsidRDefault="002301AC" w:rsidP="002301AC">
      <w:pPr>
        <w:rPr>
          <w:rFonts w:hint="eastAsia"/>
        </w:rPr>
      </w:pPr>
      <w:r w:rsidRPr="002301AC">
        <w:t>[</w:t>
      </w:r>
      <w:r>
        <w:rPr>
          <w:rFonts w:hint="eastAsia"/>
        </w:rPr>
        <w:t>3</w:t>
      </w:r>
      <w:r w:rsidRPr="002301AC">
        <w:t>]</w:t>
      </w:r>
      <w:r>
        <w:rPr>
          <w:rFonts w:hint="eastAsia"/>
        </w:rPr>
        <w:t xml:space="preserve"> </w:t>
      </w:r>
      <w:r w:rsidRPr="002301AC">
        <w:t>D. Bianchini, V. De Antonellis, N. De Franceschi, and M. Melchiori, ‘</w:t>
      </w:r>
      <w:proofErr w:type="spellStart"/>
      <w:r w:rsidRPr="002301AC">
        <w:t>PREFer</w:t>
      </w:r>
      <w:proofErr w:type="spellEnd"/>
      <w:r w:rsidRPr="002301AC">
        <w:t xml:space="preserve">: A prescription-based food recommender system’, </w:t>
      </w:r>
      <w:r w:rsidRPr="002301AC">
        <w:rPr>
          <w:i/>
          <w:iCs/>
        </w:rPr>
        <w:t>Computer Standards &amp; Interfaces</w:t>
      </w:r>
      <w:r w:rsidRPr="002301AC">
        <w:t xml:space="preserve">, vol. 54, pp. 64–75, Nov. 2017, </w:t>
      </w:r>
      <w:proofErr w:type="spellStart"/>
      <w:r w:rsidRPr="002301AC">
        <w:t>doi</w:t>
      </w:r>
      <w:proofErr w:type="spellEnd"/>
      <w:r w:rsidRPr="002301AC">
        <w:t xml:space="preserve">: </w:t>
      </w:r>
      <w:hyperlink r:id="rId5" w:history="1">
        <w:r w:rsidRPr="002301AC">
          <w:rPr>
            <w:rStyle w:val="ae"/>
          </w:rPr>
          <w:t>10.1016/j.csi.2016.10.010</w:t>
        </w:r>
      </w:hyperlink>
      <w:r w:rsidRPr="002301AC">
        <w:t>.</w:t>
      </w:r>
    </w:p>
    <w:p w14:paraId="61FEFC5C" w14:textId="7D70BDB2" w:rsidR="00652B28" w:rsidRPr="002301AC" w:rsidRDefault="002301AC" w:rsidP="00C33F3A">
      <w:pPr>
        <w:rPr>
          <w:rFonts w:hint="eastAsia"/>
        </w:rPr>
      </w:pPr>
      <w:r w:rsidRPr="002301AC">
        <w:t>[</w:t>
      </w:r>
      <w:r>
        <w:rPr>
          <w:rFonts w:hint="eastAsia"/>
        </w:rPr>
        <w:t>4</w:t>
      </w:r>
      <w:r w:rsidRPr="002301AC">
        <w:t>]</w:t>
      </w:r>
      <w:r>
        <w:rPr>
          <w:rFonts w:hint="eastAsia"/>
        </w:rPr>
        <w:t xml:space="preserve"> </w:t>
      </w:r>
      <w:r w:rsidRPr="002301AC">
        <w:t xml:space="preserve">R. U. Haque, R. H. Khan, A. S. M. </w:t>
      </w:r>
      <w:proofErr w:type="spellStart"/>
      <w:r w:rsidRPr="002301AC">
        <w:t>Shihavuddin</w:t>
      </w:r>
      <w:proofErr w:type="spellEnd"/>
      <w:r w:rsidRPr="002301AC">
        <w:t xml:space="preserve">, M. M. M. Syeed, and M. F. Uddin, ‘Lightweight and Parameter-Optimized Real-Time Food Calorie Estimation from Images Using CNN-Based Approach’, </w:t>
      </w:r>
      <w:r w:rsidRPr="002301AC">
        <w:rPr>
          <w:i/>
          <w:iCs/>
        </w:rPr>
        <w:t>Applied Sciences</w:t>
      </w:r>
      <w:r w:rsidRPr="002301AC">
        <w:t xml:space="preserve">, vol. 12, no. 19, p. 9733, Sep. 2022, </w:t>
      </w:r>
      <w:proofErr w:type="spellStart"/>
      <w:r w:rsidRPr="002301AC">
        <w:t>doi</w:t>
      </w:r>
      <w:proofErr w:type="spellEnd"/>
      <w:r w:rsidRPr="002301AC">
        <w:t xml:space="preserve">: </w:t>
      </w:r>
      <w:hyperlink r:id="rId6" w:history="1">
        <w:r w:rsidRPr="002301AC">
          <w:rPr>
            <w:rStyle w:val="ae"/>
          </w:rPr>
          <w:t>10.3390/app12199733</w:t>
        </w:r>
      </w:hyperlink>
      <w:r w:rsidRPr="002301AC">
        <w:t>.</w:t>
      </w:r>
    </w:p>
    <w:p w14:paraId="325D3D2D" w14:textId="692A5F9B" w:rsidR="002301AC" w:rsidRPr="002301AC" w:rsidRDefault="002301AC" w:rsidP="00C33F3A">
      <w:pPr>
        <w:rPr>
          <w:rFonts w:hint="eastAsia"/>
        </w:rPr>
      </w:pPr>
      <w:r w:rsidRPr="002301AC">
        <w:t>[</w:t>
      </w:r>
      <w:r>
        <w:rPr>
          <w:rFonts w:hint="eastAsia"/>
        </w:rPr>
        <w:t>5</w:t>
      </w:r>
      <w:r w:rsidRPr="002301AC">
        <w:t>]</w:t>
      </w:r>
      <w:r>
        <w:rPr>
          <w:rFonts w:hint="eastAsia"/>
        </w:rPr>
        <w:t xml:space="preserve"> </w:t>
      </w:r>
      <w:r w:rsidRPr="002301AC">
        <w:t xml:space="preserve">P. N, S. Poojitha, S. M. Hussain, M. P. Chowdary, and M. Rafi, ‘Food Recognition and Calorie Estimation in Mixed Food Items using </w:t>
      </w:r>
      <w:proofErr w:type="spellStart"/>
      <w:r w:rsidRPr="002301AC">
        <w:t>MobileNet</w:t>
      </w:r>
      <w:proofErr w:type="spellEnd"/>
      <w:r w:rsidRPr="002301AC">
        <w:t xml:space="preserve">’, in </w:t>
      </w:r>
      <w:r w:rsidRPr="002301AC">
        <w:rPr>
          <w:i/>
          <w:iCs/>
        </w:rPr>
        <w:t>2025 6th International Conference on Intelligent Communication Technologies and Virtual Mobile Networks (ICICV)</w:t>
      </w:r>
      <w:r w:rsidRPr="002301AC">
        <w:t xml:space="preserve">, Tirunelveli, India: IEEE, Jun. 2025, pp. 1014–1019. </w:t>
      </w:r>
      <w:proofErr w:type="spellStart"/>
      <w:r w:rsidRPr="002301AC">
        <w:t>doi</w:t>
      </w:r>
      <w:proofErr w:type="spellEnd"/>
      <w:r w:rsidRPr="002301AC">
        <w:t xml:space="preserve">: </w:t>
      </w:r>
      <w:hyperlink r:id="rId7" w:history="1">
        <w:r w:rsidRPr="002301AC">
          <w:rPr>
            <w:rStyle w:val="ae"/>
          </w:rPr>
          <w:t>10.1109/ICICV64824.2025.11085688</w:t>
        </w:r>
      </w:hyperlink>
      <w:r w:rsidRPr="002301AC">
        <w:t>.</w:t>
      </w:r>
    </w:p>
    <w:p w14:paraId="6C8D8051" w14:textId="084C3BFE" w:rsidR="002301AC" w:rsidRPr="002301AC" w:rsidRDefault="002301AC" w:rsidP="002301AC">
      <w:r w:rsidRPr="002301AC">
        <w:t>[</w:t>
      </w:r>
      <w:r>
        <w:rPr>
          <w:rFonts w:hint="eastAsia"/>
        </w:rPr>
        <w:t>6</w:t>
      </w:r>
      <w:r w:rsidRPr="002301AC">
        <w:t>]</w:t>
      </w:r>
      <w:r>
        <w:rPr>
          <w:rFonts w:hint="eastAsia"/>
        </w:rPr>
        <w:t xml:space="preserve"> </w:t>
      </w:r>
      <w:r w:rsidRPr="002301AC">
        <w:t xml:space="preserve">S. Chancellor, A. Hu, and M. De Choudhury, ‘Norms Matter: Contrasting Social Support Around Behavior Change in Online Weight Loss Communities’, in </w:t>
      </w:r>
      <w:r w:rsidRPr="002301AC">
        <w:rPr>
          <w:i/>
          <w:iCs/>
        </w:rPr>
        <w:t>Proceedings of the 2018 CHI Conference on Human Factors in Computing Systems</w:t>
      </w:r>
      <w:r w:rsidRPr="002301AC">
        <w:t xml:space="preserve">, Montreal QC Canada: ACM, Apr. 2018, pp. 1–14. </w:t>
      </w:r>
      <w:proofErr w:type="spellStart"/>
      <w:r w:rsidRPr="002301AC">
        <w:t>doi</w:t>
      </w:r>
      <w:proofErr w:type="spellEnd"/>
      <w:r w:rsidRPr="002301AC">
        <w:t xml:space="preserve">: </w:t>
      </w:r>
      <w:hyperlink r:id="rId8" w:history="1">
        <w:r w:rsidRPr="002301AC">
          <w:rPr>
            <w:rStyle w:val="ae"/>
          </w:rPr>
          <w:t>10.1145/3173574.3174240</w:t>
        </w:r>
      </w:hyperlink>
      <w:r w:rsidRPr="002301AC">
        <w:t>.</w:t>
      </w:r>
    </w:p>
    <w:p w14:paraId="61B4ECB9" w14:textId="4E8F563C" w:rsidR="002301AC" w:rsidRDefault="002301AC" w:rsidP="00C33F3A">
      <w:pPr>
        <w:rPr>
          <w:rFonts w:hint="eastAsia"/>
        </w:rPr>
      </w:pPr>
      <w:r w:rsidRPr="002301AC">
        <w:t>[</w:t>
      </w:r>
      <w:r>
        <w:rPr>
          <w:rFonts w:hint="eastAsia"/>
        </w:rPr>
        <w:t>7</w:t>
      </w:r>
      <w:r w:rsidRPr="002301AC">
        <w:t>]</w:t>
      </w:r>
      <w:r>
        <w:rPr>
          <w:rFonts w:hint="eastAsia"/>
        </w:rPr>
        <w:t xml:space="preserve"> </w:t>
      </w:r>
      <w:r w:rsidRPr="002301AC">
        <w:t xml:space="preserve">J. Inauen </w:t>
      </w:r>
      <w:r w:rsidRPr="002301AC">
        <w:rPr>
          <w:i/>
          <w:iCs/>
        </w:rPr>
        <w:t>et al.</w:t>
      </w:r>
      <w:r w:rsidRPr="002301AC">
        <w:t xml:space="preserve">, ‘Using Smartphone‐Based Support Groups to Promote Healthy Eating in Daily Life: A </w:t>
      </w:r>
      <w:proofErr w:type="spellStart"/>
      <w:r w:rsidRPr="002301AC">
        <w:t>Randomised</w:t>
      </w:r>
      <w:proofErr w:type="spellEnd"/>
      <w:r w:rsidRPr="002301AC">
        <w:t xml:space="preserve"> Trial’, </w:t>
      </w:r>
      <w:r w:rsidRPr="002301AC">
        <w:rPr>
          <w:i/>
          <w:iCs/>
        </w:rPr>
        <w:t>Applied Psych Health &amp;amp; Well</w:t>
      </w:r>
      <w:r w:rsidRPr="002301AC">
        <w:t xml:space="preserve">, vol. 9, no. 3, pp. 303–323, Nov. 2017, </w:t>
      </w:r>
      <w:proofErr w:type="spellStart"/>
      <w:r w:rsidRPr="002301AC">
        <w:t>doi</w:t>
      </w:r>
      <w:proofErr w:type="spellEnd"/>
      <w:r w:rsidRPr="002301AC">
        <w:t xml:space="preserve">: </w:t>
      </w:r>
      <w:hyperlink r:id="rId9" w:history="1">
        <w:r w:rsidRPr="002301AC">
          <w:rPr>
            <w:rStyle w:val="ae"/>
          </w:rPr>
          <w:t>10.1111/aphw.12093</w:t>
        </w:r>
      </w:hyperlink>
      <w:r w:rsidRPr="002301AC">
        <w:t>.</w:t>
      </w:r>
    </w:p>
    <w:p w14:paraId="7A5718EE" w14:textId="5356A19F" w:rsidR="00F70304" w:rsidRPr="00F70304" w:rsidRDefault="00F70304" w:rsidP="00F70304">
      <w:r w:rsidRPr="00F70304">
        <w:t>[</w:t>
      </w:r>
      <w:proofErr w:type="gramStart"/>
      <w:r>
        <w:rPr>
          <w:rFonts w:hint="eastAsia"/>
        </w:rPr>
        <w:t>8</w:t>
      </w:r>
      <w:r w:rsidRPr="00F70304">
        <w:t>]</w:t>
      </w:r>
      <w:r>
        <w:rPr>
          <w:rFonts w:hint="eastAsia"/>
        </w:rPr>
        <w:t xml:space="preserve"> </w:t>
      </w:r>
      <w:r w:rsidRPr="00F70304">
        <w:t>‘</w:t>
      </w:r>
      <w:proofErr w:type="gramEnd"/>
      <w:r w:rsidRPr="00F70304">
        <w:t xml:space="preserve">Data protection’, GOV.UK. Accessed: Feb. 18, 2026. [Online]. Available: </w:t>
      </w:r>
      <w:hyperlink r:id="rId10" w:history="1">
        <w:r w:rsidRPr="00F70304">
          <w:rPr>
            <w:rStyle w:val="ae"/>
          </w:rPr>
          <w:t>https://www.gov.uk/data-protection</w:t>
        </w:r>
      </w:hyperlink>
    </w:p>
    <w:p w14:paraId="1FF44F83" w14:textId="1F2FFC02" w:rsidR="002301AC" w:rsidRPr="002301AC" w:rsidRDefault="002301AC" w:rsidP="002301AC">
      <w:r w:rsidRPr="002301AC">
        <w:t>[</w:t>
      </w:r>
      <w:r>
        <w:rPr>
          <w:rFonts w:hint="eastAsia"/>
        </w:rPr>
        <w:t>9</w:t>
      </w:r>
      <w:r w:rsidRPr="002301AC">
        <w:t>]</w:t>
      </w:r>
      <w:r>
        <w:rPr>
          <w:rFonts w:hint="eastAsia"/>
        </w:rPr>
        <w:t xml:space="preserve"> </w:t>
      </w:r>
      <w:r w:rsidRPr="002301AC">
        <w:t xml:space="preserve">S. K. Lala, A. Kumar, and S. T., ‘Secure Web development using OWASP Guidelines’, in </w:t>
      </w:r>
      <w:r w:rsidRPr="002301AC">
        <w:rPr>
          <w:i/>
          <w:iCs/>
        </w:rPr>
        <w:t>2021 5th International Conference on Intelligent Computing and Control Systems (ICICCS)</w:t>
      </w:r>
      <w:r w:rsidRPr="002301AC">
        <w:t xml:space="preserve">, Madurai, India: IEEE, May 2021, pp. 323–332. </w:t>
      </w:r>
      <w:proofErr w:type="spellStart"/>
      <w:r w:rsidRPr="002301AC">
        <w:t>doi</w:t>
      </w:r>
      <w:proofErr w:type="spellEnd"/>
      <w:r w:rsidRPr="002301AC">
        <w:t xml:space="preserve">: </w:t>
      </w:r>
      <w:hyperlink r:id="rId11" w:history="1">
        <w:r w:rsidRPr="002301AC">
          <w:rPr>
            <w:rStyle w:val="ae"/>
          </w:rPr>
          <w:t>10.1109/ICICCS51141.2021.9432179</w:t>
        </w:r>
      </w:hyperlink>
      <w:r w:rsidRPr="002301AC">
        <w:t>.</w:t>
      </w:r>
    </w:p>
    <w:p w14:paraId="6ACBE399" w14:textId="77777777" w:rsidR="002301AC" w:rsidRPr="002301AC" w:rsidRDefault="002301AC" w:rsidP="00C33F3A">
      <w:pPr>
        <w:rPr>
          <w:rFonts w:hint="eastAsia"/>
        </w:rPr>
      </w:pPr>
    </w:p>
    <w:sectPr w:rsidR="002301AC" w:rsidRPr="002301A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DC0"/>
    <w:rsid w:val="00097D32"/>
    <w:rsid w:val="002301AC"/>
    <w:rsid w:val="00345A3F"/>
    <w:rsid w:val="003B4FE5"/>
    <w:rsid w:val="00652B28"/>
    <w:rsid w:val="00A058C9"/>
    <w:rsid w:val="00C33F3A"/>
    <w:rsid w:val="00C63DC0"/>
    <w:rsid w:val="00F703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4B859"/>
  <w15:chartTrackingRefBased/>
  <w15:docId w15:val="{6020BDA4-8483-4BE5-9E68-0C2C62F0C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63DC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63DC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63DC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63DC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63DC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63DC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63DC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63DC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63DC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63DC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63DC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63DC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63DC0"/>
    <w:rPr>
      <w:rFonts w:cstheme="majorBidi"/>
      <w:color w:val="0F4761" w:themeColor="accent1" w:themeShade="BF"/>
      <w:sz w:val="28"/>
      <w:szCs w:val="28"/>
    </w:rPr>
  </w:style>
  <w:style w:type="character" w:customStyle="1" w:styleId="50">
    <w:name w:val="标题 5 字符"/>
    <w:basedOn w:val="a0"/>
    <w:link w:val="5"/>
    <w:uiPriority w:val="9"/>
    <w:semiHidden/>
    <w:rsid w:val="00C63DC0"/>
    <w:rPr>
      <w:rFonts w:cstheme="majorBidi"/>
      <w:color w:val="0F4761" w:themeColor="accent1" w:themeShade="BF"/>
      <w:sz w:val="24"/>
    </w:rPr>
  </w:style>
  <w:style w:type="character" w:customStyle="1" w:styleId="60">
    <w:name w:val="标题 6 字符"/>
    <w:basedOn w:val="a0"/>
    <w:link w:val="6"/>
    <w:uiPriority w:val="9"/>
    <w:semiHidden/>
    <w:rsid w:val="00C63DC0"/>
    <w:rPr>
      <w:rFonts w:cstheme="majorBidi"/>
      <w:b/>
      <w:bCs/>
      <w:color w:val="0F4761" w:themeColor="accent1" w:themeShade="BF"/>
    </w:rPr>
  </w:style>
  <w:style w:type="character" w:customStyle="1" w:styleId="70">
    <w:name w:val="标题 7 字符"/>
    <w:basedOn w:val="a0"/>
    <w:link w:val="7"/>
    <w:uiPriority w:val="9"/>
    <w:semiHidden/>
    <w:rsid w:val="00C63DC0"/>
    <w:rPr>
      <w:rFonts w:cstheme="majorBidi"/>
      <w:b/>
      <w:bCs/>
      <w:color w:val="595959" w:themeColor="text1" w:themeTint="A6"/>
    </w:rPr>
  </w:style>
  <w:style w:type="character" w:customStyle="1" w:styleId="80">
    <w:name w:val="标题 8 字符"/>
    <w:basedOn w:val="a0"/>
    <w:link w:val="8"/>
    <w:uiPriority w:val="9"/>
    <w:semiHidden/>
    <w:rsid w:val="00C63DC0"/>
    <w:rPr>
      <w:rFonts w:cstheme="majorBidi"/>
      <w:color w:val="595959" w:themeColor="text1" w:themeTint="A6"/>
    </w:rPr>
  </w:style>
  <w:style w:type="character" w:customStyle="1" w:styleId="90">
    <w:name w:val="标题 9 字符"/>
    <w:basedOn w:val="a0"/>
    <w:link w:val="9"/>
    <w:uiPriority w:val="9"/>
    <w:semiHidden/>
    <w:rsid w:val="00C63DC0"/>
    <w:rPr>
      <w:rFonts w:eastAsiaTheme="majorEastAsia" w:cstheme="majorBidi"/>
      <w:color w:val="595959" w:themeColor="text1" w:themeTint="A6"/>
    </w:rPr>
  </w:style>
  <w:style w:type="paragraph" w:styleId="a3">
    <w:name w:val="Title"/>
    <w:basedOn w:val="a"/>
    <w:next w:val="a"/>
    <w:link w:val="a4"/>
    <w:uiPriority w:val="10"/>
    <w:qFormat/>
    <w:rsid w:val="00C63DC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63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3DC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63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63DC0"/>
    <w:pPr>
      <w:spacing w:before="160"/>
      <w:jc w:val="center"/>
    </w:pPr>
    <w:rPr>
      <w:i/>
      <w:iCs/>
      <w:color w:val="404040" w:themeColor="text1" w:themeTint="BF"/>
    </w:rPr>
  </w:style>
  <w:style w:type="character" w:customStyle="1" w:styleId="a8">
    <w:name w:val="引用 字符"/>
    <w:basedOn w:val="a0"/>
    <w:link w:val="a7"/>
    <w:uiPriority w:val="29"/>
    <w:rsid w:val="00C63DC0"/>
    <w:rPr>
      <w:i/>
      <w:iCs/>
      <w:color w:val="404040" w:themeColor="text1" w:themeTint="BF"/>
    </w:rPr>
  </w:style>
  <w:style w:type="paragraph" w:styleId="a9">
    <w:name w:val="List Paragraph"/>
    <w:basedOn w:val="a"/>
    <w:uiPriority w:val="34"/>
    <w:qFormat/>
    <w:rsid w:val="00C63DC0"/>
    <w:pPr>
      <w:ind w:left="720"/>
      <w:contextualSpacing/>
    </w:pPr>
  </w:style>
  <w:style w:type="character" w:styleId="aa">
    <w:name w:val="Intense Emphasis"/>
    <w:basedOn w:val="a0"/>
    <w:uiPriority w:val="21"/>
    <w:qFormat/>
    <w:rsid w:val="00C63DC0"/>
    <w:rPr>
      <w:i/>
      <w:iCs/>
      <w:color w:val="0F4761" w:themeColor="accent1" w:themeShade="BF"/>
    </w:rPr>
  </w:style>
  <w:style w:type="paragraph" w:styleId="ab">
    <w:name w:val="Intense Quote"/>
    <w:basedOn w:val="a"/>
    <w:next w:val="a"/>
    <w:link w:val="ac"/>
    <w:uiPriority w:val="30"/>
    <w:qFormat/>
    <w:rsid w:val="00C63D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63DC0"/>
    <w:rPr>
      <w:i/>
      <w:iCs/>
      <w:color w:val="0F4761" w:themeColor="accent1" w:themeShade="BF"/>
    </w:rPr>
  </w:style>
  <w:style w:type="character" w:styleId="ad">
    <w:name w:val="Intense Reference"/>
    <w:basedOn w:val="a0"/>
    <w:uiPriority w:val="32"/>
    <w:qFormat/>
    <w:rsid w:val="00C63DC0"/>
    <w:rPr>
      <w:b/>
      <w:bCs/>
      <w:smallCaps/>
      <w:color w:val="0F4761" w:themeColor="accent1" w:themeShade="BF"/>
      <w:spacing w:val="5"/>
    </w:rPr>
  </w:style>
  <w:style w:type="character" w:styleId="ae">
    <w:name w:val="Hyperlink"/>
    <w:basedOn w:val="a0"/>
    <w:uiPriority w:val="99"/>
    <w:unhideWhenUsed/>
    <w:rsid w:val="00652B28"/>
    <w:rPr>
      <w:color w:val="467886" w:themeColor="hyperlink"/>
      <w:u w:val="single"/>
    </w:rPr>
  </w:style>
  <w:style w:type="character" w:styleId="af">
    <w:name w:val="Unresolved Mention"/>
    <w:basedOn w:val="a0"/>
    <w:uiPriority w:val="99"/>
    <w:semiHidden/>
    <w:unhideWhenUsed/>
    <w:rsid w:val="00652B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3173574.3174240"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oi.org/10.1109/ICICV64824.2025.11085688"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3390/app12199733" TargetMode="External"/><Relationship Id="rId11" Type="http://schemas.openxmlformats.org/officeDocument/2006/relationships/hyperlink" Target="https://doi.org/10.1109/ICICCS51141.2021.9432179" TargetMode="External"/><Relationship Id="rId5" Type="http://schemas.openxmlformats.org/officeDocument/2006/relationships/hyperlink" Target="https://doi.org/10.1016/j.csi.2016.10.010" TargetMode="External"/><Relationship Id="rId10" Type="http://schemas.openxmlformats.org/officeDocument/2006/relationships/hyperlink" Target="https://www.gov.uk/data-protection" TargetMode="External"/><Relationship Id="rId4" Type="http://schemas.openxmlformats.org/officeDocument/2006/relationships/hyperlink" Target="https://doi.org/10.21203/rs.3.rs-584141/v1" TargetMode="External"/><Relationship Id="rId9" Type="http://schemas.openxmlformats.org/officeDocument/2006/relationships/hyperlink" Target="https://doi.org/10.1111/aphw.12093"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847</Words>
  <Characters>4828</Characters>
  <Application>Microsoft Office Word</Application>
  <DocSecurity>0</DocSecurity>
  <Lines>40</Lines>
  <Paragraphs>11</Paragraphs>
  <ScaleCrop>false</ScaleCrop>
  <Company/>
  <LinksUpToDate>false</LinksUpToDate>
  <CharactersWithSpaces>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Z22456</dc:creator>
  <cp:keywords/>
  <dc:description/>
  <cp:lastModifiedBy>Z22456</cp:lastModifiedBy>
  <cp:revision>4</cp:revision>
  <dcterms:created xsi:type="dcterms:W3CDTF">2026-02-18T16:20:00Z</dcterms:created>
  <dcterms:modified xsi:type="dcterms:W3CDTF">2026-02-18T17:02:00Z</dcterms:modified>
</cp:coreProperties>
</file>