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A0" w:rsidRPr="00D84EC7" w:rsidRDefault="00142DA0" w:rsidP="00D84EC7">
      <w:pPr>
        <w:spacing w:before="100" w:beforeAutospacing="1" w:after="100" w:afterAutospacing="1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Конева Анна гр.3843</w:t>
      </w:r>
    </w:p>
    <w:p w:rsidR="00142DA0" w:rsidRPr="00D84EC7" w:rsidRDefault="00142DA0" w:rsidP="00D84EC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Контрольная работа </w:t>
      </w:r>
    </w:p>
    <w:p w:rsidR="00142DA0" w:rsidRPr="00D84EC7" w:rsidRDefault="00142DA0" w:rsidP="00D84EC7">
      <w:pPr>
        <w:pStyle w:val="a5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Какие конституционные права человека в информационной сфере вы знаете</w:t>
      </w:r>
      <w:r w:rsidRPr="00D84EC7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142DA0" w:rsidRPr="00142DA0" w:rsidRDefault="00142DA0" w:rsidP="00D84EC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свободно искать, получать, передавать, производить и распространять информацию (п. 4 ст. 29);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доступ к информации, непосредственно затрагивающей права и свободы индивида (п. 2 ст. 24);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неприкосновенность частной жизни, личная, семейная тайна (п. 1 ст. 23);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тайну переписки, телефонных переговоров, почтовых, телеграфных и иных сообщений (п. 2 ст. 23);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информацию о состоянии окружающей среды (ст. 42).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свободу мысли и слова (п. 1 ст. 29);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пользование родным языком, на свободный выбор языка общения, воспитания, обучения и творчества (п. 2 ст. 26);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свободу литературного, художественного, научного, технического и других видов творчества, преподавания (п. 1 ст. 44);</w:t>
      </w:r>
    </w:p>
    <w:p w:rsidR="00142DA0" w:rsidRPr="00142DA0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на образование (п. 1 ст. 43);</w:t>
      </w:r>
    </w:p>
    <w:p w:rsidR="00142DA0" w:rsidRPr="00D84EC7" w:rsidRDefault="00142DA0" w:rsidP="00D84E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обращаться лично и коллективно в государственные органы и органы местного самоуправления (ст. 33).</w:t>
      </w:r>
    </w:p>
    <w:p w:rsidR="00142DA0" w:rsidRPr="00D84EC7" w:rsidRDefault="00142DA0" w:rsidP="00D84EC7">
      <w:pPr>
        <w:pStyle w:val="a5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Какие существуют основания для ограничений конституционных прав?</w:t>
      </w:r>
    </w:p>
    <w:p w:rsidR="005A63E3" w:rsidRPr="00D84EC7" w:rsidRDefault="005A63E3" w:rsidP="00D84EC7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Перечень случаев прямого ограничения информационных прав: 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пропаганда ненависти, насилия, войны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нарушения права на неприкосновенность частной жизни 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нарушение права на профессиональную, государственную и банковскую тайну 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sz w:val="24"/>
          <w:szCs w:val="24"/>
        </w:rPr>
        <w:t>распр</w:t>
      </w:r>
      <w:r w:rsidRPr="00D84EC7">
        <w:rPr>
          <w:rFonts w:ascii="Times New Roman" w:hAnsi="Times New Roman" w:cs="Times New Roman"/>
          <w:sz w:val="24"/>
          <w:szCs w:val="24"/>
        </w:rPr>
        <w:t xml:space="preserve">остранение клеветы, оскорблений, </w:t>
      </w:r>
      <w:r w:rsidRPr="00D84EC7">
        <w:rPr>
          <w:rFonts w:ascii="Times New Roman" w:hAnsi="Times New Roman" w:cs="Times New Roman"/>
          <w:sz w:val="24"/>
          <w:szCs w:val="24"/>
        </w:rPr>
        <w:t>заведомо ложных сведений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sz w:val="24"/>
          <w:szCs w:val="24"/>
        </w:rPr>
        <w:t>публично демонстрируемые призы</w:t>
      </w:r>
      <w:r w:rsidRPr="00D84EC7">
        <w:rPr>
          <w:rFonts w:ascii="Times New Roman" w:hAnsi="Times New Roman" w:cs="Times New Roman"/>
          <w:sz w:val="24"/>
          <w:szCs w:val="24"/>
        </w:rPr>
        <w:t>в</w:t>
      </w:r>
      <w:r w:rsidRPr="00D84EC7">
        <w:rPr>
          <w:rFonts w:ascii="Times New Roman" w:hAnsi="Times New Roman" w:cs="Times New Roman"/>
          <w:sz w:val="24"/>
          <w:szCs w:val="24"/>
        </w:rPr>
        <w:t>ы</w:t>
      </w:r>
      <w:r w:rsidRPr="00D84EC7">
        <w:rPr>
          <w:rFonts w:ascii="Times New Roman" w:hAnsi="Times New Roman" w:cs="Times New Roman"/>
          <w:sz w:val="24"/>
          <w:szCs w:val="24"/>
        </w:rPr>
        <w:t xml:space="preserve"> к террористичес</w:t>
      </w:r>
      <w:r w:rsidRPr="00D84EC7">
        <w:rPr>
          <w:rFonts w:ascii="Times New Roman" w:hAnsi="Times New Roman" w:cs="Times New Roman"/>
          <w:sz w:val="24"/>
          <w:szCs w:val="24"/>
        </w:rPr>
        <w:t xml:space="preserve">кой деятельности или оправдание </w:t>
      </w:r>
      <w:r w:rsidRPr="00D84EC7">
        <w:rPr>
          <w:rFonts w:ascii="Times New Roman" w:hAnsi="Times New Roman" w:cs="Times New Roman"/>
          <w:sz w:val="24"/>
          <w:szCs w:val="24"/>
        </w:rPr>
        <w:t>терроризма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распространение </w:t>
      </w:r>
      <w:r w:rsidRPr="00D84EC7">
        <w:rPr>
          <w:rFonts w:ascii="Times New Roman" w:hAnsi="Times New Roman" w:cs="Times New Roman"/>
          <w:sz w:val="24"/>
          <w:szCs w:val="24"/>
        </w:rPr>
        <w:t>порнографических изображений несовершеннолетних</w:t>
      </w:r>
    </w:p>
    <w:p w:rsidR="005A63E3" w:rsidRPr="00D84EC7" w:rsidRDefault="005A63E3" w:rsidP="00D84EC7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распространение </w:t>
      </w:r>
      <w:r w:rsidRPr="00D84EC7">
        <w:rPr>
          <w:rFonts w:ascii="Times New Roman" w:hAnsi="Times New Roman" w:cs="Times New Roman"/>
          <w:sz w:val="24"/>
          <w:szCs w:val="24"/>
        </w:rPr>
        <w:t>программ для ЭВМ и данных, заведомо предназначенных для несанкционированного воздействия на компьютерную информацию путем</w:t>
      </w:r>
      <w:r w:rsidRPr="00D84EC7">
        <w:rPr>
          <w:rFonts w:ascii="Times New Roman" w:hAnsi="Times New Roman" w:cs="Times New Roman"/>
          <w:sz w:val="24"/>
          <w:szCs w:val="24"/>
        </w:rPr>
        <w:t xml:space="preserve"> нейтрализации защитных средств</w:t>
      </w:r>
    </w:p>
    <w:p w:rsidR="00142DA0" w:rsidRPr="00D84EC7" w:rsidRDefault="001B753E" w:rsidP="00D84E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Во «Всеобщей декларации прав человека» установлены ограничения: </w:t>
      </w:r>
    </w:p>
    <w:p w:rsidR="001B753E" w:rsidRPr="00D84EC7" w:rsidRDefault="001B753E" w:rsidP="00D84EC7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удовлетворения справедливых требований морали</w:t>
      </w:r>
    </w:p>
    <w:p w:rsidR="001B753E" w:rsidRPr="00D84EC7" w:rsidRDefault="001B753E" w:rsidP="00D84EC7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обеспечения должного признания и уважения прав и свобод других </w:t>
      </w:r>
    </w:p>
    <w:p w:rsidR="001B753E" w:rsidRPr="00D84EC7" w:rsidRDefault="001B753E" w:rsidP="00D84EC7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обеспечение общественного порядка и общего благосостояния</w:t>
      </w:r>
    </w:p>
    <w:p w:rsidR="001B753E" w:rsidRPr="00D84EC7" w:rsidRDefault="001B753E" w:rsidP="00D84E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«Европейская конвенция о защите прав человека и основных свобод» содержит дополнительные ограничения: </w:t>
      </w:r>
    </w:p>
    <w:p w:rsidR="001B753E" w:rsidRPr="00D84EC7" w:rsidRDefault="001B753E" w:rsidP="00D84E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в интересах государственной безопасности</w:t>
      </w:r>
    </w:p>
    <w:p w:rsidR="001B753E" w:rsidRPr="00D84EC7" w:rsidRDefault="001B753E" w:rsidP="00D84E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в целях предотвращения беспорядков и преступлений</w:t>
      </w:r>
    </w:p>
    <w:p w:rsidR="001B753E" w:rsidRPr="00D84EC7" w:rsidRDefault="001B753E" w:rsidP="00D84E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для охраны здоровья и нравственности</w:t>
      </w:r>
    </w:p>
    <w:p w:rsidR="001B753E" w:rsidRPr="00D84EC7" w:rsidRDefault="001B753E" w:rsidP="00D84E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для предотвращения распространения информации, полученной конфиденциально</w:t>
      </w:r>
    </w:p>
    <w:p w:rsidR="001B753E" w:rsidRPr="00D84EC7" w:rsidRDefault="001B753E" w:rsidP="00D84E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«Международный пакт о гражданских и политических правах» содержит следующие ограничения: </w:t>
      </w:r>
    </w:p>
    <w:p w:rsidR="001B753E" w:rsidRPr="00D84EC7" w:rsidRDefault="001B753E" w:rsidP="00D84EC7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запрещена всякая пропаганда войны, ненависти и дискриминация </w:t>
      </w:r>
    </w:p>
    <w:p w:rsidR="001B753E" w:rsidRPr="00D84EC7" w:rsidRDefault="001B753E" w:rsidP="00D84EC7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84EC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Перечень </w:t>
      </w:r>
      <w:r w:rsidR="005A63E3" w:rsidRPr="00D84EC7">
        <w:rPr>
          <w:rFonts w:ascii="Times New Roman" w:hAnsi="Times New Roman" w:cs="Times New Roman"/>
          <w:i/>
          <w:sz w:val="24"/>
          <w:szCs w:val="24"/>
        </w:rPr>
        <w:t xml:space="preserve">оснований для ограничения информационных прав: </w:t>
      </w:r>
    </w:p>
    <w:p w:rsidR="005A63E3" w:rsidRPr="00D84EC7" w:rsidRDefault="005A63E3" w:rsidP="00D84EC7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защита основ Конституционного строя</w:t>
      </w:r>
    </w:p>
    <w:p w:rsidR="005A63E3" w:rsidRPr="00D84EC7" w:rsidRDefault="005A63E3" w:rsidP="00D84EC7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защита нравственности, здоровья и прав других лиц </w:t>
      </w:r>
    </w:p>
    <w:p w:rsidR="005A63E3" w:rsidRPr="00D84EC7" w:rsidRDefault="005A63E3" w:rsidP="00D84EC7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обеспечение обороны страны</w:t>
      </w:r>
    </w:p>
    <w:p w:rsidR="005A63E3" w:rsidRPr="00D84EC7" w:rsidRDefault="005A63E3" w:rsidP="00D84EC7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 xml:space="preserve">предотвращение разглашения конфиденциальной информации </w:t>
      </w:r>
    </w:p>
    <w:p w:rsidR="00142DA0" w:rsidRPr="00D84EC7" w:rsidRDefault="005A63E3" w:rsidP="00D84EC7">
      <w:pPr>
        <w:pStyle w:val="a5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sz w:val="24"/>
          <w:szCs w:val="24"/>
        </w:rPr>
        <w:t>условие чрезвычайного положения, установленное по закону</w:t>
      </w:r>
    </w:p>
    <w:p w:rsidR="00E5223D" w:rsidRPr="00D84EC7" w:rsidRDefault="00E5223D" w:rsidP="00D84EC7">
      <w:pPr>
        <w:pStyle w:val="a5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65DB" w:rsidRPr="00D84EC7" w:rsidRDefault="00EB65DB" w:rsidP="00D84EC7">
      <w:pPr>
        <w:pStyle w:val="a5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63E3" w:rsidRPr="00D84EC7" w:rsidRDefault="005A63E3" w:rsidP="00D84EC7">
      <w:pPr>
        <w:pStyle w:val="a5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Каковы конституционные гарантии реализации права на доступ к информации</w:t>
      </w:r>
      <w:r w:rsidRPr="00D84EC7">
        <w:rPr>
          <w:rFonts w:ascii="Times New Roman" w:hAnsi="Times New Roman" w:cs="Times New Roman"/>
          <w:b/>
          <w:sz w:val="24"/>
          <w:szCs w:val="24"/>
        </w:rPr>
        <w:t>?</w:t>
      </w:r>
    </w:p>
    <w:p w:rsidR="00E5223D" w:rsidRPr="00D84EC7" w:rsidRDefault="00E5223D" w:rsidP="00D84EC7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>Конституционными г</w:t>
      </w:r>
      <w:r w:rsidRPr="00D84EC7">
        <w:rPr>
          <w:rFonts w:ascii="Times New Roman" w:hAnsi="Times New Roman" w:cs="Times New Roman"/>
          <w:color w:val="000000"/>
          <w:sz w:val="24"/>
          <w:szCs w:val="24"/>
        </w:rPr>
        <w:t>арантиями доступа к информации являются:</w:t>
      </w:r>
    </w:p>
    <w:p w:rsidR="00E5223D" w:rsidRPr="00E806C1" w:rsidRDefault="00E5223D" w:rsidP="00D84EC7">
      <w:pPr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положения о признании</w:t>
      </w:r>
      <w:r w:rsidRPr="00E806C1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прав и свобод человека и гражданина неотчуждаемыми (ст. 17), равными (ст. 19), непосредственно действующими</w:t>
      </w:r>
      <w:r w:rsidRPr="00D84EC7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r w:rsidRPr="00E806C1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(ст. 18) согласно общепризнанным принципам и нормам международного права и защищаемыми государством (ч. 4 ст. 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 (ч. 3 ст. 15);</w:t>
      </w:r>
    </w:p>
    <w:p w:rsidR="00E5223D" w:rsidRPr="00E806C1" w:rsidRDefault="00E5223D" w:rsidP="00D84EC7">
      <w:pPr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806C1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права и свободы “определяют смысл, содержание и применение законов, деятельность законодательной и исполнительной власти, местного самоуправления и обеспечиваются правосудием”</w:t>
      </w:r>
      <w:r w:rsidRPr="00D84EC7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r w:rsidRPr="00E806C1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(ст. 18);</w:t>
      </w:r>
    </w:p>
    <w:p w:rsidR="00E5223D" w:rsidRPr="00E806C1" w:rsidRDefault="00E5223D" w:rsidP="00D84EC7">
      <w:pPr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806C1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механизмы защиты наряду с государственной защитой предусматривают право каждого на самозащиту “всеми способами, незапрещенными законом” (ч. 2 ст. 45), судебную защиту (ч. 1 и 2 ст. 46), международно-правовую защиту (ч. 3 ст. 46);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Ст. 29 Конституции РФ провозглашает право каждого свободно искать, получать, передавать, производить и распространять информацию любым законным способом. На органах власти лежит обязанность информировать общество о своей деятельности. 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В соответствии с ч. 2 ст. 24 </w:t>
      </w:r>
      <w:r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Конституции </w:t>
      </w:r>
      <w:r w:rsidRPr="00D84EC7">
        <w:rPr>
          <w:rFonts w:ascii="Times New Roman" w:hAnsi="Times New Roman" w:cs="Times New Roman"/>
          <w:color w:val="000000"/>
          <w:sz w:val="24"/>
          <w:szCs w:val="24"/>
        </w:rPr>
        <w:t>органы государственной власти и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>нормы, устанавливающие ответственность должностных лиц за сокрытие фактов и обстоятельств, создающих угрозу для жизни и здоровья людей (п. 3 ст. 41 Конституции РФ), закрепляющие право каждого на достоверную информацию о состоянии окружающей среды (ст. 42),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нормы, устанавливающие свободу творчества и преподавания, охрану интеллектуальной собственности (п. 1 ст. 44), 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запрет цензуры (ч. 5 ст. 29), 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открытость заседаний палат Федерального Собрания (п. 2 ст. 100), </w:t>
      </w:r>
    </w:p>
    <w:p w:rsidR="00E5223D" w:rsidRPr="00D84EC7" w:rsidRDefault="00E5223D" w:rsidP="00D84EC7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color w:val="000000"/>
          <w:sz w:val="24"/>
          <w:szCs w:val="24"/>
        </w:rPr>
        <w:t>открытость судопроизводства (п. 1 ст. 123) и др.</w:t>
      </w:r>
    </w:p>
    <w:p w:rsidR="00E5223D" w:rsidRPr="00D84EC7" w:rsidRDefault="00E5223D" w:rsidP="00D84EC7">
      <w:pPr>
        <w:pStyle w:val="a3"/>
        <w:spacing w:before="150" w:beforeAutospacing="0" w:after="240" w:afterAutospacing="0" w:line="276" w:lineRule="auto"/>
        <w:textAlignment w:val="top"/>
        <w:rPr>
          <w:color w:val="000000"/>
        </w:rPr>
      </w:pPr>
      <w:r w:rsidRPr="00D84EC7">
        <w:rPr>
          <w:color w:val="000000"/>
        </w:rPr>
        <w:t>Согласно Конституции РФ, гарантирующие функции выполняются Президентом РФ, который является гарантом прав и свобод человека и гражданина (ст. 80), также Правительством, осуществляющим на основании ст. 114 меры по обеспечению законности, прав и свобод граждан.</w:t>
      </w:r>
    </w:p>
    <w:p w:rsidR="00A04DF0" w:rsidRPr="00D84EC7" w:rsidRDefault="00A04DF0" w:rsidP="00D84EC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Как обеспечивается правовая охрана права на доступ к информации?</w:t>
      </w:r>
    </w:p>
    <w:p w:rsidR="00E5223D" w:rsidRPr="00D84EC7" w:rsidRDefault="00E5223D" w:rsidP="00D84EC7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Правовая охрана права на доступ к и</w:t>
      </w:r>
      <w:r w:rsidR="00C15B7E" w:rsidRPr="00D84EC7">
        <w:rPr>
          <w:rFonts w:ascii="Times New Roman" w:hAnsi="Times New Roman" w:cs="Times New Roman"/>
          <w:sz w:val="24"/>
          <w:szCs w:val="24"/>
        </w:rPr>
        <w:t xml:space="preserve">нформации обеспечивается статьей 8 </w:t>
      </w:r>
      <w:r w:rsidRPr="00D84EC7">
        <w:rPr>
          <w:rFonts w:ascii="Times New Roman" w:hAnsi="Times New Roman" w:cs="Times New Roman"/>
          <w:color w:val="333333"/>
          <w:sz w:val="24"/>
          <w:szCs w:val="24"/>
        </w:rPr>
        <w:t xml:space="preserve">Федерального закона от 27.07.2006 N 149-ФЗ </w:t>
      </w:r>
      <w:r w:rsidRPr="00D84EC7">
        <w:rPr>
          <w:rFonts w:ascii="Times New Roman" w:hAnsi="Times New Roman" w:cs="Times New Roman"/>
          <w:color w:val="000000"/>
          <w:sz w:val="24"/>
          <w:szCs w:val="24"/>
        </w:rPr>
        <w:t>"Об информации, информационных технологиях и о защите информации"</w:t>
      </w:r>
      <w:r w:rsidR="00C15B7E" w:rsidRPr="00D84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15B7E" w:rsidRPr="00D84EC7" w:rsidRDefault="00C15B7E" w:rsidP="00D84EC7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223D" w:rsidRPr="00D84EC7" w:rsidRDefault="00E5223D" w:rsidP="00D84EC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Какие существуют механизмы доступа к открытой информации?</w:t>
      </w:r>
    </w:p>
    <w:p w:rsidR="005A63E3" w:rsidRPr="00D84EC7" w:rsidRDefault="00E5223D" w:rsidP="00D84EC7">
      <w:pPr>
        <w:pStyle w:val="a3"/>
        <w:spacing w:before="150" w:beforeAutospacing="0" w:after="0" w:afterAutospacing="0" w:line="276" w:lineRule="auto"/>
        <w:textAlignment w:val="top"/>
        <w:rPr>
          <w:color w:val="000000"/>
        </w:rPr>
      </w:pPr>
      <w:r w:rsidRPr="00D84EC7">
        <w:rPr>
          <w:color w:val="000000"/>
        </w:rPr>
        <w:t xml:space="preserve">К механизмам доступа к открытой информации можно отнести: </w:t>
      </w:r>
    </w:p>
    <w:p w:rsidR="00E5223D" w:rsidRPr="00E5223D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структурирование открытой информации по уровням доступа -подлежащей обязательному опубликованию в средствах массовой информации, предоставлению по запросу каждого гражданина, обязательному предоставлению по запросу отдельных категорий граждан;</w:t>
      </w:r>
    </w:p>
    <w:p w:rsidR="00E5223D" w:rsidRPr="00E5223D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структурирование органов государственной власти и местного самоуправления, чьи должностные лица обязаны предоставлять информацию (пример – государственная система научно-технической информации, положение о которой утверждено постановлением Правительства Российской Федерации от 24 июля1997г.);</w:t>
      </w:r>
    </w:p>
    <w:p w:rsidR="00E5223D" w:rsidRPr="00E5223D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установление обязанности должностных лиц на основании документов предоставлять по запросам граждан информацию, доступ к которой не ограничен законом;</w:t>
      </w:r>
    </w:p>
    <w:p w:rsidR="00E5223D" w:rsidRPr="00E5223D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публикацию в общедоступных изданиях документированной информации, подлежащей обязательному распространению, всех перечней по установлению ограничений и запретов в информационной сфере, перечня органов государственной власти и местного самоуправления (с указанием их функций и адресов);</w:t>
      </w:r>
    </w:p>
    <w:p w:rsidR="00E5223D" w:rsidRPr="00E5223D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создание общедоступных баз данных в органах государственной власти и местного самоуправления, в том числе на общедоступных серверах с указанием в средствах массовой информации их адресов и порядка получения информации;</w:t>
      </w:r>
    </w:p>
    <w:p w:rsidR="00E5223D" w:rsidRPr="00E5223D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порядок предоставления информации, предусматривающий сроки, объем и форму предоставления информации в зависимости от правового статуса организации, в адрес которой направлен запрос;</w:t>
      </w:r>
    </w:p>
    <w:p w:rsidR="00E5223D" w:rsidRPr="00D84EC7" w:rsidRDefault="00E5223D" w:rsidP="00D84EC7">
      <w:pPr>
        <w:numPr>
          <w:ilvl w:val="0"/>
          <w:numId w:val="1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5223D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установление источников финансирования и покрытия расходов, связанных с предоставлением информации, – в соответствии с нормой Гражданского кодекса Российской Федерации (п. 2 ст. 779) предоставление информации отнесено к обязательствам о возмездном оказании услуг.</w:t>
      </w:r>
    </w:p>
    <w:p w:rsidR="00E5223D" w:rsidRPr="00D84EC7" w:rsidRDefault="00E5223D" w:rsidP="00D84EC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E5223D" w:rsidRPr="00E5223D" w:rsidRDefault="00E5223D" w:rsidP="00D84EC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E5223D" w:rsidRPr="00D84EC7" w:rsidRDefault="00E5223D" w:rsidP="00D84EC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Назовите основные виды объектов интеллектуальной собственности в информационной системе.</w:t>
      </w:r>
    </w:p>
    <w:p w:rsidR="00E5223D" w:rsidRPr="00D84EC7" w:rsidRDefault="00430ACC" w:rsidP="00D84EC7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i/>
          <w:sz w:val="24"/>
          <w:szCs w:val="24"/>
        </w:rPr>
        <w:t xml:space="preserve">Информация </w:t>
      </w:r>
      <w:r w:rsidRPr="00D84EC7">
        <w:rPr>
          <w:rFonts w:ascii="Times New Roman" w:hAnsi="Times New Roman" w:cs="Times New Roman"/>
          <w:sz w:val="24"/>
          <w:szCs w:val="24"/>
        </w:rPr>
        <w:t>/ Объекты интеллектуальной собственности - охраняемые результаты интеллектуальной деятельности (произведения, базы данных, секреты производства (ноу-хау))</w:t>
      </w:r>
    </w:p>
    <w:p w:rsidR="00430ACC" w:rsidRPr="00D84EC7" w:rsidRDefault="00430ACC" w:rsidP="00D84EC7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i/>
          <w:sz w:val="24"/>
          <w:szCs w:val="24"/>
        </w:rPr>
        <w:t>Информационные технологии</w:t>
      </w:r>
      <w:r w:rsidRPr="00D84EC7">
        <w:rPr>
          <w:rFonts w:ascii="Times New Roman" w:hAnsi="Times New Roman" w:cs="Times New Roman"/>
          <w:sz w:val="24"/>
          <w:szCs w:val="24"/>
        </w:rPr>
        <w:t xml:space="preserve"> / Объекты интеллектуальной собственности: ПЭВМ, базы данных, изобретения, полезные модели, промышленные образцы, ноу-хау, сайт-мультимедийный продукт, единые технологии </w:t>
      </w:r>
    </w:p>
    <w:p w:rsidR="00430ACC" w:rsidRPr="00D84EC7" w:rsidRDefault="00430ACC" w:rsidP="00D84EC7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i/>
          <w:sz w:val="24"/>
          <w:szCs w:val="24"/>
        </w:rPr>
        <w:t>Технические средства</w:t>
      </w:r>
      <w:r w:rsidRPr="00D84EC7">
        <w:rPr>
          <w:rFonts w:ascii="Times New Roman" w:hAnsi="Times New Roman" w:cs="Times New Roman"/>
          <w:sz w:val="24"/>
          <w:szCs w:val="24"/>
        </w:rPr>
        <w:t xml:space="preserve"> (объекты вещного права) </w:t>
      </w:r>
    </w:p>
    <w:p w:rsidR="00E5223D" w:rsidRPr="00D84EC7" w:rsidRDefault="00E5223D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5223D" w:rsidRPr="00D84EC7" w:rsidRDefault="00E5223D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5223D" w:rsidRPr="00D84EC7" w:rsidRDefault="00E5223D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5223D" w:rsidRDefault="00E5223D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84EC7" w:rsidRPr="00D84EC7" w:rsidRDefault="00D84EC7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5223D" w:rsidRPr="00D84EC7" w:rsidRDefault="00E5223D" w:rsidP="00D84EC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Назовите основные риски интеллектуальной собственности.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рынка интеллектуальной собственности.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 недобросовестной конкуренции и фактической монополизации на товарных и смежных с ними рынках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антимонопольного регулирования в сфере интеллектуальной собственности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Преимущественное использование иностранного ПО, в том числе на безвозмездной основе («бесплатный сыр»);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правовой и экономической безграмотности при использовании чужого ПО;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«дырявая» учетная политика в отношении РИД, используемых в информационных технологиях и информационных системах (ПЭВМ, базы данных, ноу-хау алгоритмы ПЭВМ) и их использование в ГИС;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грамотного правового разграничения при обеспечении информационной безопасности в ЕАЭС и странах ЕАЭС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правовой и экономической безграмотности по вопросам интеллектуальной собственности и информационной безопасности;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в нормативных правовых актах по информационной безопасности вопросов интеллектуальной собственности; </w:t>
      </w:r>
    </w:p>
    <w:p w:rsidR="00904A46" w:rsidRPr="00D84EC7" w:rsidRDefault="00904A46" w:rsidP="00D84EC7">
      <w:pPr>
        <w:pStyle w:val="a5"/>
        <w:numPr>
          <w:ilvl w:val="0"/>
          <w:numId w:val="17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недостаток профессиональных кадров по информационной безопасности и интеллектуальной собственности</w:t>
      </w:r>
    </w:p>
    <w:p w:rsidR="00904A46" w:rsidRPr="00D84EC7" w:rsidRDefault="00904A46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65DB" w:rsidRPr="00D84EC7" w:rsidRDefault="00EB65DB" w:rsidP="00D84EC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5223D" w:rsidRPr="00D84EC7" w:rsidRDefault="00E5223D" w:rsidP="00D84EC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Чем отличается защита права в административном порядке от защиты в судебном порядке?</w:t>
      </w:r>
    </w:p>
    <w:p w:rsidR="00904A46" w:rsidRPr="00D84EC7" w:rsidRDefault="009C7A4E" w:rsidP="00D84EC7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84EC7">
        <w:rPr>
          <w:rFonts w:ascii="Times New Roman" w:hAnsi="Times New Roman" w:cs="Times New Roman"/>
          <w:sz w:val="24"/>
          <w:szCs w:val="24"/>
        </w:rPr>
        <w:t>В административном порядке защита права может осуществляться только в случаях, прямо указанных в законах, через подачу жалобы лицом, чьи права</w:t>
      </w:r>
      <w:r w:rsidR="00D63559" w:rsidRPr="00D84EC7">
        <w:rPr>
          <w:rFonts w:ascii="Times New Roman" w:hAnsi="Times New Roman" w:cs="Times New Roman"/>
          <w:sz w:val="24"/>
          <w:szCs w:val="24"/>
        </w:rPr>
        <w:t xml:space="preserve"> нарушены, на должностное лицо </w:t>
      </w:r>
      <w:r w:rsidRPr="00D84EC7">
        <w:rPr>
          <w:rFonts w:ascii="Times New Roman" w:hAnsi="Times New Roman" w:cs="Times New Roman"/>
          <w:sz w:val="24"/>
          <w:szCs w:val="24"/>
        </w:rPr>
        <w:t xml:space="preserve">в вышестоящую инстанцию в специально уполномоченный орган. </w:t>
      </w:r>
    </w:p>
    <w:p w:rsidR="00D63559" w:rsidRPr="00D84EC7" w:rsidRDefault="009C7A4E" w:rsidP="00D84EC7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rPr>
          <w:color w:val="000000"/>
        </w:rPr>
      </w:pPr>
      <w:r w:rsidRPr="00D84EC7">
        <w:t>В судебном порядке лицо может выбрать любой способ защиты нарушенных прав</w:t>
      </w:r>
      <w:r w:rsidR="00D63559" w:rsidRPr="00D84EC7">
        <w:t>:</w:t>
      </w:r>
      <w:r w:rsidRPr="00D84EC7">
        <w:t xml:space="preserve"> через подачу иска для рассмотрения в гражданском, административном или уголовном судопроизводстве. </w:t>
      </w:r>
    </w:p>
    <w:p w:rsidR="00F66849" w:rsidRPr="00D84EC7" w:rsidRDefault="00F66849" w:rsidP="00D84E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EC7" w:rsidRPr="00D84EC7" w:rsidRDefault="00D84EC7" w:rsidP="00D84E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EC7" w:rsidRPr="00D84EC7" w:rsidRDefault="00D84EC7" w:rsidP="00D84E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23D" w:rsidRPr="00D84EC7" w:rsidRDefault="00E5223D" w:rsidP="00D84EC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4EC7">
        <w:rPr>
          <w:rFonts w:ascii="Times New Roman" w:hAnsi="Times New Roman" w:cs="Times New Roman"/>
          <w:b/>
          <w:sz w:val="24"/>
          <w:szCs w:val="24"/>
        </w:rPr>
        <w:t>Каковы способы гражданско-правовой защиты права на доступ к информации?</w:t>
      </w:r>
    </w:p>
    <w:p w:rsidR="00D84EC7" w:rsidRPr="00D84EC7" w:rsidRDefault="00D84EC7" w:rsidP="00D84EC7">
      <w:pPr>
        <w:pStyle w:val="a3"/>
        <w:shd w:val="clear" w:color="auto" w:fill="FFFFFF"/>
        <w:spacing w:before="0" w:beforeAutospacing="0" w:after="0" w:afterAutospacing="0" w:line="276" w:lineRule="auto"/>
        <w:rPr>
          <w:rStyle w:val="a7"/>
          <w:b w:val="0"/>
          <w:color w:val="262626"/>
        </w:rPr>
      </w:pPr>
      <w:r w:rsidRPr="00D84EC7">
        <w:rPr>
          <w:color w:val="262626"/>
        </w:rPr>
        <w:t>В соответствии со статьями 12, 1252 ГК РФ</w:t>
      </w:r>
      <w:r>
        <w:rPr>
          <w:color w:val="262626"/>
        </w:rPr>
        <w:t>,</w:t>
      </w:r>
      <w:r w:rsidRPr="00D84EC7">
        <w:rPr>
          <w:color w:val="262626"/>
        </w:rPr>
        <w:t> </w:t>
      </w:r>
      <w:r w:rsidRPr="00D84EC7">
        <w:rPr>
          <w:rStyle w:val="a7"/>
          <w:b w:val="0"/>
          <w:color w:val="262626"/>
        </w:rPr>
        <w:t>обладатели исключительных прав на результаты интеллектуальной деятельности и приравненные к ним средства индивидуализации, авторских и смежных прав вправе требовать от нарушителя:</w:t>
      </w:r>
      <w:r w:rsidRPr="00D84EC7">
        <w:rPr>
          <w:rStyle w:val="a7"/>
          <w:b w:val="0"/>
          <w:color w:val="262626"/>
        </w:rPr>
        <w:t xml:space="preserve"> </w:t>
      </w:r>
    </w:p>
    <w:p w:rsidR="00D84EC7" w:rsidRPr="00D84EC7" w:rsidRDefault="00D84EC7" w:rsidP="00D84EC7">
      <w:pPr>
        <w:pStyle w:val="a3"/>
        <w:shd w:val="clear" w:color="auto" w:fill="FFFFFF"/>
        <w:spacing w:before="0" w:beforeAutospacing="0" w:after="0" w:afterAutospacing="0" w:line="276" w:lineRule="auto"/>
        <w:rPr>
          <w:color w:val="262626"/>
        </w:rPr>
      </w:pPr>
      <w:r w:rsidRPr="00D84EC7">
        <w:rPr>
          <w:rStyle w:val="a7"/>
          <w:color w:val="262626"/>
        </w:rPr>
        <w:t>1)</w:t>
      </w:r>
      <w:r w:rsidRPr="00D84EC7">
        <w:rPr>
          <w:color w:val="262626"/>
        </w:rPr>
        <w:t xml:space="preserve"> признания прав, </w:t>
      </w:r>
    </w:p>
    <w:p w:rsidR="00D84EC7" w:rsidRPr="00D84EC7" w:rsidRDefault="00D84EC7" w:rsidP="00D84EC7">
      <w:pPr>
        <w:pStyle w:val="a3"/>
        <w:shd w:val="clear" w:color="auto" w:fill="FFFFFF"/>
        <w:spacing w:before="0" w:beforeAutospacing="0" w:after="0" w:afterAutospacing="0" w:line="276" w:lineRule="auto"/>
        <w:rPr>
          <w:color w:val="262626"/>
        </w:rPr>
      </w:pPr>
      <w:r w:rsidRPr="00D84EC7">
        <w:rPr>
          <w:rStyle w:val="a7"/>
          <w:color w:val="262626"/>
        </w:rPr>
        <w:t>2)</w:t>
      </w:r>
      <w:r w:rsidRPr="00D84EC7">
        <w:rPr>
          <w:color w:val="262626"/>
        </w:rPr>
        <w:t xml:space="preserve"> восстановления положения, существовавшего до нарушения права, и пресечение действий, нарушающих право или создающих угрозу его нарушения. </w:t>
      </w:r>
    </w:p>
    <w:p w:rsidR="00D84EC7" w:rsidRPr="00D84EC7" w:rsidRDefault="00D84EC7" w:rsidP="00D84EC7">
      <w:pPr>
        <w:pStyle w:val="a3"/>
        <w:shd w:val="clear" w:color="auto" w:fill="FFFFFF"/>
        <w:spacing w:before="0" w:beforeAutospacing="0" w:after="0" w:afterAutospacing="0" w:line="276" w:lineRule="auto"/>
        <w:rPr>
          <w:color w:val="262626"/>
        </w:rPr>
      </w:pPr>
      <w:r w:rsidRPr="00D84EC7">
        <w:rPr>
          <w:rStyle w:val="a7"/>
          <w:color w:val="262626"/>
        </w:rPr>
        <w:t>3)</w:t>
      </w:r>
      <w:r w:rsidRPr="00D84EC7">
        <w:rPr>
          <w:color w:val="262626"/>
        </w:rPr>
        <w:t> возмещения убытков, включая упущенную выгоду.</w:t>
      </w:r>
    </w:p>
    <w:p w:rsidR="00D84EC7" w:rsidRPr="00D84EC7" w:rsidRDefault="00D84EC7" w:rsidP="00D84EC7">
      <w:pPr>
        <w:pStyle w:val="a3"/>
        <w:shd w:val="clear" w:color="auto" w:fill="FFFFFF"/>
        <w:spacing w:before="0" w:beforeAutospacing="0" w:after="0" w:afterAutospacing="0" w:line="276" w:lineRule="auto"/>
        <w:rPr>
          <w:color w:val="262626"/>
        </w:rPr>
      </w:pPr>
      <w:r w:rsidRPr="00D84EC7">
        <w:rPr>
          <w:rStyle w:val="a7"/>
          <w:color w:val="262626"/>
        </w:rPr>
        <w:t>4)</w:t>
      </w:r>
      <w:r w:rsidRPr="00D84EC7">
        <w:rPr>
          <w:color w:val="262626"/>
        </w:rPr>
        <w:t> взыскания дохода, полученного нарушителем вследствие нарушения авторских и смежных прав, вместо возмещения убытков.</w:t>
      </w:r>
    </w:p>
    <w:p w:rsidR="00D84EC7" w:rsidRPr="00D84EC7" w:rsidRDefault="00D84EC7" w:rsidP="00D84EC7">
      <w:pPr>
        <w:pStyle w:val="a3"/>
        <w:shd w:val="clear" w:color="auto" w:fill="FFFFFF"/>
        <w:spacing w:before="0" w:beforeAutospacing="0" w:after="0" w:afterAutospacing="0" w:line="276" w:lineRule="auto"/>
        <w:rPr>
          <w:color w:val="262626"/>
        </w:rPr>
      </w:pPr>
      <w:r w:rsidRPr="00D84EC7">
        <w:rPr>
          <w:rStyle w:val="a7"/>
          <w:color w:val="262626"/>
        </w:rPr>
        <w:t>5)</w:t>
      </w:r>
      <w:r w:rsidRPr="00D84EC7">
        <w:rPr>
          <w:color w:val="262626"/>
        </w:rPr>
        <w:t> компенс</w:t>
      </w:r>
      <w:r w:rsidRPr="00D84EC7">
        <w:rPr>
          <w:color w:val="262626"/>
        </w:rPr>
        <w:t>ации морального вреда.</w:t>
      </w:r>
    </w:p>
    <w:p w:rsidR="00D84EC7" w:rsidRPr="00D84EC7" w:rsidRDefault="00D84EC7" w:rsidP="00D84EC7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D84EC7" w:rsidRPr="00D84EC7" w:rsidSect="00C15B7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2E3"/>
    <w:multiLevelType w:val="hybridMultilevel"/>
    <w:tmpl w:val="284E9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983"/>
    <w:multiLevelType w:val="multilevel"/>
    <w:tmpl w:val="2162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899"/>
    <w:multiLevelType w:val="hybridMultilevel"/>
    <w:tmpl w:val="CF300EDC"/>
    <w:lvl w:ilvl="0" w:tplc="E0F6ED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7B96"/>
    <w:multiLevelType w:val="hybridMultilevel"/>
    <w:tmpl w:val="E23E07B8"/>
    <w:lvl w:ilvl="0" w:tplc="72D242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0A9A"/>
    <w:multiLevelType w:val="multilevel"/>
    <w:tmpl w:val="E8C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677E9"/>
    <w:multiLevelType w:val="hybridMultilevel"/>
    <w:tmpl w:val="6ACA2A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0B7C7E"/>
    <w:multiLevelType w:val="hybridMultilevel"/>
    <w:tmpl w:val="584A9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54B24"/>
    <w:multiLevelType w:val="multilevel"/>
    <w:tmpl w:val="C7A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E6F3B"/>
    <w:multiLevelType w:val="hybridMultilevel"/>
    <w:tmpl w:val="181EB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56517C"/>
    <w:multiLevelType w:val="hybridMultilevel"/>
    <w:tmpl w:val="EA929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A5E1E"/>
    <w:multiLevelType w:val="multilevel"/>
    <w:tmpl w:val="E8C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60CD7"/>
    <w:multiLevelType w:val="hybridMultilevel"/>
    <w:tmpl w:val="62280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86A98"/>
    <w:multiLevelType w:val="hybridMultilevel"/>
    <w:tmpl w:val="282EE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B6DFF"/>
    <w:multiLevelType w:val="multilevel"/>
    <w:tmpl w:val="2F4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F0140"/>
    <w:multiLevelType w:val="hybridMultilevel"/>
    <w:tmpl w:val="A2482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644F3"/>
    <w:multiLevelType w:val="hybridMultilevel"/>
    <w:tmpl w:val="4CCA2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C0831"/>
    <w:multiLevelType w:val="hybridMultilevel"/>
    <w:tmpl w:val="8D4AC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5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  <w:num w:numId="15">
    <w:abstractNumId w:val="1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A0"/>
    <w:rsid w:val="00142DA0"/>
    <w:rsid w:val="001B753E"/>
    <w:rsid w:val="001E0E80"/>
    <w:rsid w:val="00430ACC"/>
    <w:rsid w:val="005A63E3"/>
    <w:rsid w:val="005C14DC"/>
    <w:rsid w:val="00823402"/>
    <w:rsid w:val="00830CC9"/>
    <w:rsid w:val="00904A46"/>
    <w:rsid w:val="009C7A4E"/>
    <w:rsid w:val="00A04DF0"/>
    <w:rsid w:val="00C15B7E"/>
    <w:rsid w:val="00D63559"/>
    <w:rsid w:val="00D84EC7"/>
    <w:rsid w:val="00DD614C"/>
    <w:rsid w:val="00E5223D"/>
    <w:rsid w:val="00EB65DB"/>
    <w:rsid w:val="00F6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779B"/>
  <w15:chartTrackingRefBased/>
  <w15:docId w15:val="{366BE29C-F6BD-47C9-90CC-1497BFE1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2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2DA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2DA0"/>
    <w:pPr>
      <w:ind w:left="720"/>
      <w:contextualSpacing/>
    </w:pPr>
  </w:style>
  <w:style w:type="character" w:styleId="a6">
    <w:name w:val="Emphasis"/>
    <w:basedOn w:val="a0"/>
    <w:uiPriority w:val="20"/>
    <w:qFormat/>
    <w:rsid w:val="00E5223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522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uiPriority w:val="22"/>
    <w:qFormat/>
    <w:rsid w:val="00D84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3</cp:revision>
  <dcterms:created xsi:type="dcterms:W3CDTF">2021-11-21T20:42:00Z</dcterms:created>
  <dcterms:modified xsi:type="dcterms:W3CDTF">2021-11-21T23:28:00Z</dcterms:modified>
</cp:coreProperties>
</file>