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资产配置策略定量对比框架</w:t>
      </w:r>
    </w:p>
    <w:p>
      <w:pPr>
        <w:spacing w:after="120"/>
        <w:jc w:val="center"/>
      </w:pPr>
      <w:r>
        <w:rPr>
          <w:rFonts w:ascii="Arial" w:cs="Arial" w:eastAsia="Arial" w:hAnsi="Arial"/>
          <w:color w:val="1F2937"/>
          <w:sz w:val="36"/>
          <w:szCs w:val="36"/>
        </w:rPr>
        <w:t xml:space="preserve">智能投顾 3.0 vs 420</w:t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Quantitative Comparison Framework  |  Version 3.0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平安银行 · 智能投顾产品团队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2026年4月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一、框架目标</w:t>
      </w:r>
    </w:p>
    <w:p>
      <w:pPr>
        <w:pBdr>
          <w:left w:val="single" w:color="2E75B6" w:sz="6" w:space="8"/>
        </w:pBdr>
        <w:spacing w:after="120" w:before="120"/>
        <w:ind w:left="480"/>
      </w:pPr>
      <w:r>
        <w:rPr>
          <w:rFonts w:ascii="Arial" w:cs="Arial" w:eastAsia="Arial" w:hAnsi="Arial"/>
          <w:i/>
          <w:iCs/>
          <w:color w:val="2E75B6"/>
          <w:sz w:val="21"/>
          <w:szCs w:val="21"/>
        </w:rPr>
        <w:t xml:space="preserve">智能投顾3.0 与 420 两套资产配置体系，在不同客户画像下，是否在收益、风险、风险收益比和风险匹配度上存在显著差异。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本框架不预设智能投顾3.0等于某一种具体优化算法。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智能投顾3.0 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可以是 MVO、也可以是风险平价、带规则约束的优化、目标风险组合、专家规则 + 优化混合框架。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本评估框架比较的是</w:t>
      </w:r>
      <w:r>
        <w:rPr>
          <w:rFonts w:ascii="Arial" w:cs="Arial" w:eastAsia="Arial" w:hAnsi="Arial"/>
          <w:color w:val="1F2937"/>
          <w:sz w:val="21"/>
          <w:szCs w:val="21"/>
        </w:rPr>
        <w:t xml:space="preserve">“策略体系结果”，而不是单一算法标签。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二、客户分层体系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2.1 风险等级（5档）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保守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稳健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平衡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进取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C5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激进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2.2 人生阶段（7类）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刚毕业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单身青年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二人世界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小孩学前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小孩成年前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子女成年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退休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2.3 客户组合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5（风险等级）× 7（人生阶段）= </w:t>
      </w: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35类客户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三、资产体系（统一口径）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资产类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CASH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现金类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BOND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固收类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EQUITY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股票类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另类（黄金 + 商品）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要求：智能投顾3.0 与 420 必须使用一致的四大类资产口径，不允许一套方案使用不同资产定义进行比较。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四、整体对比结构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本框架分为两层：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3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策略层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方案一：指数收益序列对比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比较两套策略体系在统一指数数据上的配置能力差异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落地层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方案二：真实产品收益序列对比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比较两套策略体系在真实可售产品池中的落地表现差异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五、方案一：指数收益序列对比（策略层）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5.1 定义</w:t>
      </w:r>
    </w:p>
    <w:p>
      <w:pPr>
        <w:pBdr>
          <w:left w:val="single" w:color="2E75B6" w:sz="6" w:space="8"/>
        </w:pBdr>
        <w:spacing w:after="120" w:before="120"/>
        <w:ind w:left="480"/>
      </w:pPr>
      <w:r>
        <w:rPr>
          <w:rFonts w:ascii="Arial" w:cs="Arial" w:eastAsia="Arial" w:hAnsi="Arial"/>
          <w:i/>
          <w:iCs/>
          <w:color w:val="2E75B6"/>
          <w:sz w:val="21"/>
          <w:szCs w:val="21"/>
        </w:rPr>
        <w:t xml:space="preserve">在不受具体产品噪音、费用、成立时点等因素影响时，智能投顾3.0 与 420 两套策略体系本身的配置能力谁更优。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5.2 对比对象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策略A：智能投顾3.0   |   策略B：420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两者都只使用四大类资产指数收益序列，不使用真实产品数据。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5.3 时间窗口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1年 / 3年 / 5年 / 10年 / 20年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5.4 数据来源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统一使用四大类资产指数收益序列：月频、长历史、可覆盖多个市场周期。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5.5 回测逻辑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1：对35类客户分别生成配置权重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对于每个客户画像：智能投顾3.0 输出一组四大类资产权重，420 输出一组四大类资产权重。</w:t>
      </w:r>
    </w:p>
    <w:p>
      <w:pPr>
        <w:spacing w:after="40"/>
        <w:ind w:left="480"/>
      </w:pPr>
      <w:r>
        <w:rPr>
          <w:rFonts w:ascii="Consolas" w:cs="Consolas" w:eastAsia="Consolas" w:hAnsi="Consolas"/>
          <w:color w:val="4B5563"/>
          <w:sz w:val="18"/>
          <w:szCs w:val="18"/>
        </w:rPr>
        <w:t xml:space="preserve">client_id,strategy,asset_class,weight</w:t>
      </w:r>
    </w:p>
    <w:p>
      <w:pPr>
        <w:spacing w:after="40"/>
        <w:ind w:left="480"/>
      </w:pPr>
      <w:r>
        <w:rPr>
          <w:rFonts w:ascii="Consolas" w:cs="Consolas" w:eastAsia="Consolas" w:hAnsi="Consolas"/>
          <w:color w:val="4B5563"/>
          <w:sz w:val="18"/>
          <w:szCs w:val="18"/>
        </w:rPr>
        <w:t xml:space="preserve">C3_二人世界,3.0,CASH,0.10</w:t>
      </w:r>
    </w:p>
    <w:p>
      <w:pPr>
        <w:spacing w:after="40"/>
        <w:ind w:left="480"/>
      </w:pPr>
      <w:r>
        <w:rPr>
          <w:rFonts w:ascii="Consolas" w:cs="Consolas" w:eastAsia="Consolas" w:hAnsi="Consolas"/>
          <w:color w:val="4B5563"/>
          <w:sz w:val="18"/>
          <w:szCs w:val="18"/>
        </w:rPr>
        <w:t xml:space="preserve">C3_二人世界,3.0,BOND,0.35</w:t>
      </w:r>
    </w:p>
    <w:p>
      <w:pPr>
        <w:spacing w:after="40"/>
        <w:ind w:left="480"/>
      </w:pPr>
      <w:r>
        <w:rPr>
          <w:rFonts w:ascii="Consolas" w:cs="Consolas" w:eastAsia="Consolas" w:hAnsi="Consolas"/>
          <w:color w:val="4B5563"/>
          <w:sz w:val="18"/>
          <w:szCs w:val="18"/>
        </w:rPr>
        <w:t xml:space="preserve">C3_二人世界,3.0,EQUITY,0.40</w:t>
      </w:r>
    </w:p>
    <w:p>
      <w:pPr>
        <w:spacing w:after="40"/>
        <w:ind w:left="480"/>
      </w:pPr>
      <w:r>
        <w:rPr>
          <w:rFonts w:ascii="Consolas" w:cs="Consolas" w:eastAsia="Consolas" w:hAnsi="Consolas"/>
          <w:color w:val="4B5563"/>
          <w:sz w:val="18"/>
          <w:szCs w:val="18"/>
        </w:rPr>
        <w:t xml:space="preserve">C3_二人世界,3.0,ALT,0.15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2：统一使用指数收益序列计算组合收益</w:t>
      </w:r>
    </w:p>
    <w:p>
      <w:pPr>
        <w:spacing w:after="80" w:before="80"/>
        <w:ind w:left="720"/>
      </w:pPr>
      <w:r>
        <w:rPr>
          <w:rFonts w:ascii="Consolas" w:cs="Consolas" w:eastAsia="Consolas" w:hAnsi="Consolas"/>
          <w:i/>
          <w:iCs/>
          <w:color w:val="7C3AED"/>
          <w:sz w:val="20"/>
          <w:szCs w:val="20"/>
        </w:rPr>
        <w:t xml:space="preserve">R_p(t) = Σ (w_i × R_i(t))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3：按不同时间窗口计算绩效指标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对每个客户 × 每个窗口 × 每套策略，计算：Return、Vol、Sharpe、MaxDD。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5.6 核心指标定义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年化收益</w:t>
      </w:r>
    </w:p>
    <w:p>
      <w:pPr>
        <w:spacing w:after="80" w:before="80"/>
        <w:ind w:left="720"/>
      </w:pPr>
      <w:r>
        <w:rPr>
          <w:rFonts w:ascii="Consolas" w:cs="Consolas" w:eastAsia="Consolas" w:hAnsi="Consolas"/>
          <w:i/>
          <w:iCs/>
          <w:color w:val="7C3AED"/>
          <w:sz w:val="20"/>
          <w:szCs w:val="20"/>
        </w:rPr>
        <w:t xml:space="preserve">Return_ann = (Π(1+R_t))^(12/T) - 1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年化波动</w:t>
      </w:r>
    </w:p>
    <w:p>
      <w:pPr>
        <w:spacing w:after="80" w:before="80"/>
        <w:ind w:left="720"/>
      </w:pPr>
      <w:r>
        <w:rPr>
          <w:rFonts w:ascii="Consolas" w:cs="Consolas" w:eastAsia="Consolas" w:hAnsi="Consolas"/>
          <w:i/>
          <w:iCs/>
          <w:color w:val="7C3AED"/>
          <w:sz w:val="20"/>
          <w:szCs w:val="20"/>
        </w:rPr>
        <w:t xml:space="preserve">Vol_ann = std(R_t) × √12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夏普比率</w:t>
      </w:r>
    </w:p>
    <w:p>
      <w:pPr>
        <w:spacing w:after="80" w:before="80"/>
        <w:ind w:left="720"/>
      </w:pPr>
      <w:r>
        <w:rPr>
          <w:rFonts w:ascii="Consolas" w:cs="Consolas" w:eastAsia="Consolas" w:hAnsi="Consolas"/>
          <w:i/>
          <w:iCs/>
          <w:color w:val="7C3AED"/>
          <w:sz w:val="20"/>
          <w:szCs w:val="20"/>
        </w:rPr>
        <w:t xml:space="preserve">Sharpe = (Return_ann - R_f) / Vol_ann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最大回撤</w:t>
      </w:r>
    </w:p>
    <w:p>
      <w:pPr>
        <w:spacing w:after="80" w:before="80"/>
        <w:ind w:left="720"/>
      </w:pPr>
      <w:r>
        <w:rPr>
          <w:rFonts w:ascii="Consolas" w:cs="Consolas" w:eastAsia="Consolas" w:hAnsi="Consolas"/>
          <w:i/>
          <w:iCs/>
          <w:color w:val="7C3AED"/>
          <w:sz w:val="20"/>
          <w:szCs w:val="20"/>
        </w:rPr>
        <w:t xml:space="preserve">MaxDD = max(peak - trough) / peak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5.7 核心对比指标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3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公式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收益差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ΔReturn = Return_3.0 - Return_420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3.0相对420的超额收益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风险匹配偏差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Δσ = Vol_ann - σ_mid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实际波动偏离风险中枢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夏普差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ΔSharpe = Sharpe_3.0 - Sharpe_420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风险收益比差异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胜率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WinRate = P(Return_3.0 &gt; Return_420)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多少客户画像下3.0胜出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一致性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Consistency = P(多窗口持续优于)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跨时间窗口的稳定性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5.8 输出结果表</w:t>
      </w:r>
    </w:p>
    <w:p>
      <w:pPr>
        <w:spacing w:after="40"/>
        <w:ind w:left="480"/>
      </w:pPr>
      <w:r>
        <w:rPr>
          <w:rFonts w:ascii="Consolas" w:cs="Consolas" w:eastAsia="Consolas" w:hAnsi="Consolas"/>
          <w:color w:val="4B5563"/>
          <w:sz w:val="18"/>
          <w:szCs w:val="18"/>
        </w:rPr>
        <w:t xml:space="preserve">client_id,window,strategy,return,vol,sharpe,max_drawdown,delta_sigma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5.9 本方案回答的问题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• 在统一指数口径下，3.0 和 420 谁的配置结构更优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• 在不考虑具体产品实现差异时，3.0 是否具有策略优势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• 3.0 是否在收益、风险、风险收益比和风险适配上优于 420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六、方案二：真实产品收益序列对比（落地层）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6.1 定义</w:t>
      </w:r>
    </w:p>
    <w:p>
      <w:pPr>
        <w:pBdr>
          <w:left w:val="single" w:color="2E75B6" w:sz="6" w:space="8"/>
        </w:pBdr>
        <w:spacing w:after="120" w:before="120"/>
        <w:ind w:left="480"/>
      </w:pPr>
      <w:r>
        <w:rPr>
          <w:rFonts w:ascii="Arial" w:cs="Arial" w:eastAsia="Arial" w:hAnsi="Arial"/>
          <w:i/>
          <w:iCs/>
          <w:color w:val="2E75B6"/>
          <w:sz w:val="21"/>
          <w:szCs w:val="21"/>
        </w:rPr>
        <w:t xml:space="preserve">当两套策略都映射到真实可售产品池后，智能投顾3.0 与 420 的落地效果谁更优。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6.2 对比对象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策略A：智能投顾3.0 真实产品组合   |   策略B：420 真实产品组合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两者基于同一真实产品池、同一四大类资产分类、同一历史区间。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6.3 时间窗口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统一评估窗口为：</w:t>
      </w: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5年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产品成立时间不足会影响样本完整性，超过5年往往会引入产品更替、断档、下线等问题。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6.4 数据来源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统一使用基金/理财产品真实净值或收益序列：月频、同一线上可售产品池。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6.5 回测逻辑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1：分别确定两套策略的真实产品映射结果</w:t>
      </w:r>
    </w:p>
    <w:p>
      <w:pPr>
        <w:spacing w:after="40"/>
        <w:ind w:left="480"/>
      </w:pPr>
      <w:r>
        <w:rPr>
          <w:rFonts w:ascii="Consolas" w:cs="Consolas" w:eastAsia="Consolas" w:hAnsi="Consolas"/>
          <w:color w:val="4B5563"/>
          <w:sz w:val="18"/>
          <w:szCs w:val="18"/>
        </w:rPr>
        <w:t xml:space="preserve">client_id,strategy,product_code,product_name,asset_class,weight</w:t>
      </w:r>
    </w:p>
    <w:p>
      <w:pPr>
        <w:spacing w:after="40"/>
        <w:ind w:left="480"/>
      </w:pPr>
      <w:r>
        <w:rPr>
          <w:rFonts w:ascii="Consolas" w:cs="Consolas" w:eastAsia="Consolas" w:hAnsi="Consolas"/>
          <w:color w:val="4B5563"/>
          <w:sz w:val="18"/>
          <w:szCs w:val="18"/>
        </w:rPr>
        <w:t xml:space="preserve">C3_二人世界,3.0,F001,某固收+,BOND,0.20</w:t>
      </w:r>
    </w:p>
    <w:p>
      <w:pPr>
        <w:spacing w:after="40"/>
        <w:ind w:left="480"/>
      </w:pPr>
      <w:r>
        <w:rPr>
          <w:rFonts w:ascii="Consolas" w:cs="Consolas" w:eastAsia="Consolas" w:hAnsi="Consolas"/>
          <w:color w:val="4B5563"/>
          <w:sz w:val="18"/>
          <w:szCs w:val="18"/>
        </w:rPr>
        <w:t xml:space="preserve">C3_二人世界,3.0,F002,某偏股混合,EQUITY,0.30</w:t>
      </w:r>
    </w:p>
    <w:p>
      <w:pPr>
        <w:spacing w:after="40"/>
        <w:ind w:left="480"/>
      </w:pPr>
      <w:r>
        <w:rPr>
          <w:rFonts w:ascii="Consolas" w:cs="Consolas" w:eastAsia="Consolas" w:hAnsi="Consolas"/>
          <w:color w:val="4B5563"/>
          <w:sz w:val="18"/>
          <w:szCs w:val="18"/>
        </w:rPr>
        <w:t xml:space="preserve">C3_二人世界,3.0,F003,某黄金ETF,ALT,0.10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2：按真实产品收益序列计算组合收益</w:t>
      </w:r>
    </w:p>
    <w:p>
      <w:pPr>
        <w:spacing w:after="80" w:before="80"/>
        <w:ind w:left="720"/>
      </w:pPr>
      <w:r>
        <w:rPr>
          <w:rFonts w:ascii="Consolas" w:cs="Consolas" w:eastAsia="Consolas" w:hAnsi="Consolas"/>
          <w:i/>
          <w:iCs/>
          <w:color w:val="7C3AED"/>
          <w:sz w:val="20"/>
          <w:szCs w:val="20"/>
        </w:rPr>
        <w:t xml:space="preserve">R_p(t) = Σ (w_j × R_j(t))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3：计算5年区间绩效指标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Return、Vol、Sharpe、MaxDD、Δσ，重点关注累计收益、最大回撤和超额夏普。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6.7 输出结果表</w:t>
      </w:r>
    </w:p>
    <w:p>
      <w:pPr>
        <w:spacing w:after="40"/>
        <w:ind w:left="480"/>
      </w:pPr>
      <w:r>
        <w:rPr>
          <w:rFonts w:ascii="Consolas" w:cs="Consolas" w:eastAsia="Consolas" w:hAnsi="Consolas"/>
          <w:color w:val="4B5563"/>
          <w:sz w:val="18"/>
          <w:szCs w:val="18"/>
        </w:rPr>
        <w:t xml:space="preserve">client_id,strategy,return_5y,vol_5y,sharpe_5y,max_drawdown_5y,delta_sigma_5y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6.8 本方案回答的问题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• 3.0 在真实产品层面是否优于 420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• 3.0 是否具备真实落地替代能力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• 3.0 在真实产品约束下是否仍保持风险收益优势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七、统一口径要求（必须）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7.1 客户口径统一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同样的35类客户、同样的风险等级定义、同样的人生阶段定义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7.2 资产口径统一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同样的四大类资产定义、同样的资产映射规则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7.3 数据口径统一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方案一只用指数序列，方案二只用真实产品序列，不得混用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7.4 风险口径统一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统一使用 σ_mid = (σ_min + σ_max) / 2 作为风险锚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7.5 产品池统一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同一可售产品池，不允许事后换池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7.6 回测规则统一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同一频率、收益计算、再平衡规则、无风险利率、缺失值处理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7.7 无未来函数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任何一期配置只使用当期及历史可得信息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八、回测细节补充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8.1 频率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统一使用月频。如原始数据为日频，应先转换为月频，再进入回测。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8.2 再平衡规则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建议统一设定为按月再平衡。如需进一步贴近业务，也可增加阈值触发再平衡、风险超限触发再平衡。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8.3 交易成本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方案一可忽略交易成本。方案二建议至少保留成本开关，按需加入申购费、赎回费、滑点、换仓成本。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8.4 无风险利率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统一使用同一个无风险利率口径，例如 LPR_1Y 或 1年期国债收益率。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8.5 缺失值处理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不允许长期前向填充。净值严重缺失的产品应剔除。对齐窗口内样本必须可解释。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8.6 滚动估计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若3.0或420内部需要动态生成权重，应明确：使用多长历史窗口估计参数、何时更新、更新频率是否一致。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九、推荐展示输出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以下为基于模拟数据生成的示例图表，用于展示框架可视化效果。实际使用时应替换为真实数据。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图1：35类客户收益差分布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展示 3.0 相对 420 的 ΔReturn，蓝色为3.0胜出，红色为420胜出。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chart" descr="Simulated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图2：35类客户夏普差分布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展示 3.0 相对 420 的 ΔSharpe，反映风险收益比差异。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chart" descr="Simulated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图3：35类客户风险匹配分布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展示 |Δσ| 分布，越接近 0 越好，表示实际波动与风险中枢匹配度更高。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chart" descr="Simulated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图4：5年真实产品累计收益曲线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对比 3.0 与 420 在真实产品层的落地表现，包含多个客户画像。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chart" descr="Simulated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图5：极端市场回撤对比</w:t>
      </w:r>
    </w:p>
    <w:p>
      <w:pPr>
        <w:spacing w:after="12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比较两套体系在压力期的 drawdown 控制能力，柱状图越短表示回撤控制越好。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chart" descr="Simulated 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十、框架总结</w:t>
      </w:r>
    </w:p>
    <w:p>
      <w:pPr>
        <w:pBdr>
          <w:left w:val="single" w:color="2E75B6" w:sz="6" w:space="8"/>
        </w:pBdr>
        <w:spacing w:after="120" w:before="120"/>
        <w:ind w:left="480"/>
      </w:pPr>
      <w:r>
        <w:rPr>
          <w:rFonts w:ascii="Arial" w:cs="Arial" w:eastAsia="Arial" w:hAnsi="Arial"/>
          <w:i/>
          <w:iCs/>
          <w:color w:val="2E75B6"/>
          <w:sz w:val="21"/>
          <w:szCs w:val="21"/>
        </w:rPr>
        <w:t xml:space="preserve">智能投顾3.0 与 420 两套完整资产配置体系，在统一客户口径、统一资产口径、统一风险口径、统一数据口径下，分别在“指数层”和“真实产品层”的表现差异。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策略层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方案一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35类客户 × 指数收益序列，对比 3.0 和 420 的策略能力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落地层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方案二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35类客户 × 真实产品收益序列，对比 3.0 和 420 的落地效果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平安银行 · 智能投顾产品团队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资产配置策略定量对比框架</w:t>
    </w:r>
    <w:r>
      <w:rPr>
        <w:rFonts w:ascii="Arial" w:cs="Arial" w:eastAsia="Arial" w:hAnsi="Arial"/>
        <w:color w:val="6B7280"/>
        <w:sz w:val="18"/>
        <w:szCs w:val="18"/>
      </w:rPr>
      <w:t xml:space="preserve">	智能投顾3.0 vs 420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652c5d6810c978b924d60ce2056bc680f74f428.png"/><Relationship Id="rId10" Type="http://schemas.openxmlformats.org/officeDocument/2006/relationships/image" Target="media/c10e7d8fba3babc7ea018632f843ef73e2e3378f.png"/><Relationship Id="rId11" Type="http://schemas.openxmlformats.org/officeDocument/2006/relationships/image" Target="media/02a0cefdb179b577e4e6436df48ee9698f097d6c.png"/><Relationship Id="rId12" Type="http://schemas.openxmlformats.org/officeDocument/2006/relationships/image" Target="media/6a259f1ad21870939ab32b92ccee86b245c32740.png"/><Relationship Id="rId13" Type="http://schemas.openxmlformats.org/officeDocument/2006/relationships/image" Target="media/9eafcd69b59a939235d511e91205aadc1eb755d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2026-04-02T01:55:46.312Z</dcterms:created>
  <dcterms:modified xsi:type="dcterms:W3CDTF">2026-04-02T01:55:46.313Z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