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28"/>
        </w:rPr>
        <w:t>德兴市二中（音乐 ）电子集体备课</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8360"/>
            <w:gridSpan w:val="8"/>
          </w:tcPr>
          <w:p>
            <w:pPr>
              <w:jc w:val="center"/>
            </w:pPr>
            <w:r/>
            <w:r>
              <w:rPr>
                <w:rFonts w:ascii="Times New Roman" w:hAnsi="Times New Roman" w:eastAsia="宋体"/>
                <w:b/>
                <w:sz w:val="22"/>
              </w:rPr>
              <w:t>基本信息</w:t>
            </w:r>
          </w:p>
        </w:tc>
        <w:tc>
          <w:tcPr>
            <w:tcW w:type="dxa" w:w="1045"/>
          </w:tcPr>
          <w:p>
            <w:r/>
            <w:r>
              <w:rPr>
                <w:rFonts w:ascii="Times New Roman" w:hAnsi="Times New Roman" w:eastAsia="宋体"/>
                <w:b w:val="0"/>
                <w:sz w:val="22"/>
              </w:rPr>
            </w:r>
          </w:p>
        </w:tc>
      </w:tr>
      <w:tr>
        <w:tc>
          <w:tcPr>
            <w:tcW w:type="dxa" w:w="2090"/>
            <w:gridSpan w:val="2"/>
          </w:tcPr>
          <w:p>
            <w:pPr>
              <w:jc w:val="center"/>
            </w:pPr>
            <w:r/>
            <w:r>
              <w:rPr>
                <w:rFonts w:ascii="Times New Roman" w:hAnsi="Times New Roman" w:eastAsia="宋体"/>
                <w:b/>
                <w:sz w:val="22"/>
              </w:rPr>
              <w:t>年级</w:t>
            </w:r>
          </w:p>
        </w:tc>
        <w:tc>
          <w:tcPr>
            <w:tcW w:type="dxa" w:w="1045"/>
          </w:tcPr>
          <w:p>
            <w:pPr>
              <w:jc w:val="center"/>
            </w:pPr>
            <w:r/>
            <w:r>
              <w:rPr>
                <w:rFonts w:ascii="Times New Roman" w:hAnsi="Times New Roman" w:eastAsia="宋体"/>
                <w:b w:val="0"/>
                <w:sz w:val="22"/>
              </w:rPr>
              <w:t>八</w:t>
            </w:r>
          </w:p>
        </w:tc>
        <w:tc>
          <w:tcPr>
            <w:tcW w:type="dxa" w:w="1045"/>
          </w:tcPr>
          <w:p>
            <w:pPr>
              <w:jc w:val="center"/>
            </w:pPr>
            <w:r/>
            <w:r>
              <w:rPr>
                <w:rFonts w:ascii="Times New Roman" w:hAnsi="Times New Roman" w:eastAsia="宋体"/>
                <w:b/>
                <w:sz w:val="22"/>
              </w:rPr>
              <w:t>学科</w:t>
            </w:r>
          </w:p>
        </w:tc>
        <w:tc>
          <w:tcPr>
            <w:tcW w:type="dxa" w:w="1045"/>
          </w:tcPr>
          <w:p>
            <w:pPr>
              <w:jc w:val="center"/>
            </w:pPr>
            <w:r/>
            <w:r>
              <w:rPr>
                <w:rFonts w:ascii="Times New Roman" w:hAnsi="Times New Roman" w:eastAsia="宋体"/>
                <w:b w:val="0"/>
                <w:sz w:val="22"/>
              </w:rPr>
              <w:t>音乐</w:t>
            </w:r>
          </w:p>
        </w:tc>
        <w:tc>
          <w:tcPr>
            <w:tcW w:type="dxa" w:w="1045"/>
          </w:tcPr>
          <w:p>
            <w:pPr>
              <w:jc w:val="center"/>
            </w:pPr>
            <w:r/>
            <w:r>
              <w:rPr>
                <w:rFonts w:ascii="Times New Roman" w:hAnsi="Times New Roman" w:eastAsia="宋体"/>
                <w:b/>
                <w:sz w:val="22"/>
              </w:rPr>
              <w:t>主备教师</w:t>
            </w:r>
          </w:p>
        </w:tc>
        <w:tc>
          <w:tcPr>
            <w:tcW w:type="dxa" w:w="1045"/>
          </w:tcPr>
          <w:p>
            <w:pPr>
              <w:jc w:val="center"/>
            </w:pPr>
            <w:r/>
            <w:r>
              <w:rPr>
                <w:rFonts w:ascii="Times New Roman" w:hAnsi="Times New Roman" w:eastAsia="宋体"/>
                <w:b w:val="0"/>
                <w:sz w:val="22"/>
              </w:rPr>
              <w:t>林辰钰</w:t>
            </w:r>
          </w:p>
        </w:tc>
        <w:tc>
          <w:tcPr>
            <w:tcW w:type="dxa" w:w="1045"/>
          </w:tcPr>
          <w:p>
            <w:pPr>
              <w:jc w:val="center"/>
            </w:pPr>
            <w:r/>
            <w:r>
              <w:rPr>
                <w:rFonts w:ascii="Times New Roman" w:hAnsi="Times New Roman" w:eastAsia="宋体"/>
                <w:b/>
                <w:sz w:val="22"/>
              </w:rPr>
              <w:t>附备教师</w:t>
            </w:r>
          </w:p>
        </w:tc>
        <w:tc>
          <w:tcPr>
            <w:tcW w:type="dxa" w:w="1045"/>
          </w:tcPr>
          <w:p>
            <w:r/>
            <w:r>
              <w:rPr>
                <w:rFonts w:ascii="Times New Roman" w:hAnsi="Times New Roman" w:eastAsia="宋体"/>
                <w:b w:val="0"/>
                <w:sz w:val="22"/>
              </w:rPr>
            </w:r>
          </w:p>
        </w:tc>
      </w:tr>
      <w:tr>
        <w:tc>
          <w:tcPr>
            <w:tcW w:type="dxa" w:w="2090"/>
            <w:gridSpan w:val="2"/>
          </w:tcPr>
          <w:p>
            <w:pPr>
              <w:jc w:val="center"/>
            </w:pPr>
            <w:r/>
            <w:r>
              <w:rPr>
                <w:rFonts w:ascii="Times New Roman" w:hAnsi="Times New Roman" w:eastAsia="宋体"/>
                <w:b/>
                <w:sz w:val="22"/>
              </w:rPr>
              <w:t>课题</w:t>
            </w:r>
          </w:p>
        </w:tc>
        <w:tc>
          <w:tcPr>
            <w:tcW w:type="dxa" w:w="6270"/>
            <w:gridSpan w:val="6"/>
          </w:tcPr>
          <w:p>
            <w:pPr>
              <w:jc w:val="center"/>
            </w:pPr>
            <w:r/>
            <w:r>
              <w:rPr>
                <w:rFonts w:ascii="Times New Roman" w:hAnsi="Times New Roman" w:eastAsia="宋体"/>
                <w:b w:val="0"/>
                <w:sz w:val="22"/>
              </w:rPr>
              <w:t>《大海与辛巴达的船》</w:t>
            </w:r>
          </w:p>
        </w:tc>
        <w:tc>
          <w:tcPr>
            <w:tcW w:type="dxa" w:w="1045"/>
          </w:tcPr>
          <w:p>
            <w:r/>
            <w:r>
              <w:rPr>
                <w:rFonts w:ascii="Times New Roman" w:hAnsi="Times New Roman" w:eastAsia="宋体"/>
                <w:b w:val="0"/>
                <w:sz w:val="22"/>
              </w:rPr>
            </w:r>
          </w:p>
        </w:tc>
      </w:tr>
      <w:tr>
        <w:tc>
          <w:tcPr>
            <w:tcW w:type="dxa" w:w="8360"/>
            <w:gridSpan w:val="8"/>
          </w:tcPr>
          <w:p>
            <w:pPr>
              <w:jc w:val="center"/>
            </w:pPr>
            <w:r/>
            <w:r>
              <w:rPr>
                <w:rFonts w:ascii="Times New Roman" w:hAnsi="Times New Roman" w:eastAsia="宋体"/>
                <w:b/>
                <w:sz w:val="22"/>
              </w:rPr>
              <w:t>素养目标</w:t>
            </w:r>
          </w:p>
        </w:tc>
        <w:tc>
          <w:tcPr>
            <w:tcW w:type="dxa" w:w="1045"/>
          </w:tcPr>
          <w:p>
            <w:pPr>
              <w:jc w:val="center"/>
            </w:pPr>
            <w:r/>
            <w:r>
              <w:rPr>
                <w:rFonts w:ascii="Times New Roman" w:hAnsi="Times New Roman" w:eastAsia="宋体"/>
                <w:b/>
                <w:sz w:val="22"/>
              </w:rPr>
              <w:t>二次备课</w:t>
            </w:r>
          </w:p>
        </w:tc>
      </w:tr>
      <w:tr>
        <w:tc>
          <w:tcPr>
            <w:tcW w:type="dxa" w:w="8360"/>
            <w:gridSpan w:val="8"/>
          </w:tcPr>
          <w:p>
            <w:r/>
            <w:r>
              <w:rPr>
                <w:rFonts w:ascii="Times New Roman" w:hAnsi="Times New Roman" w:eastAsia="宋体"/>
                <w:b w:val="0"/>
                <w:sz w:val="22"/>
              </w:rPr>
              <w:t>知识目标：了解里姆斯基-科萨科夫及其交响组曲《舍赫拉查达》的创作背景；认识交响组曲的体裁特点；了解国王主题与王妃主题（辛巴达主题）的对比特点。</w:t>
              <w:br/>
              <w:t>能力目标：能够辨别大海主题（激烈汹涌）、辛巴达主题（小提琴独奏旋律）和国王主题（铜管威严宣示）的音色与情绪特点，并能在聆听中追踪主题的出现与变化。</w:t>
              <w:br/>
              <w:t>情感目标：通过欣赏感受音乐描绘大海与航海历险的画面感，了解《一千零一夜》故事原型，拓宽对不同民族音乐文化的视野，培养丰富的音乐想象力。</w:t>
            </w:r>
          </w:p>
        </w:tc>
        <w:tc>
          <w:tcPr>
            <w:tcW w:type="dxa" w:w="1045"/>
          </w:tcPr>
          <w:p>
            <w:r/>
            <w:r>
              <w:rPr>
                <w:rFonts w:ascii="Times New Roman" w:hAnsi="Times New Roman" w:eastAsia="宋体"/>
                <w:b w:val="0"/>
                <w:sz w:val="22"/>
              </w:rPr>
            </w:r>
          </w:p>
        </w:tc>
      </w:tr>
      <w:tr>
        <w:tc>
          <w:tcPr>
            <w:tcW w:type="dxa" w:w="8360"/>
            <w:gridSpan w:val="8"/>
          </w:tcPr>
          <w:p>
            <w:pPr>
              <w:jc w:val="center"/>
            </w:pPr>
            <w:r/>
            <w:r>
              <w:rPr>
                <w:rFonts w:ascii="Times New Roman" w:hAnsi="Times New Roman" w:eastAsia="宋体"/>
                <w:b/>
                <w:sz w:val="22"/>
              </w:rPr>
              <w:t>教学重点和难点</w:t>
            </w:r>
          </w:p>
        </w:tc>
        <w:tc>
          <w:tcPr>
            <w:tcW w:type="dxa" w:w="1045"/>
          </w:tcPr>
          <w:p>
            <w:r/>
            <w:r>
              <w:rPr>
                <w:rFonts w:ascii="Times New Roman" w:hAnsi="Times New Roman" w:eastAsia="宋体"/>
                <w:b w:val="0"/>
                <w:sz w:val="22"/>
              </w:rPr>
            </w:r>
          </w:p>
        </w:tc>
      </w:tr>
      <w:tr>
        <w:tc>
          <w:tcPr>
            <w:tcW w:type="dxa" w:w="8360"/>
            <w:gridSpan w:val="8"/>
          </w:tcPr>
          <w:p>
            <w:r/>
            <w:r>
              <w:rPr>
                <w:rFonts w:ascii="Times New Roman" w:hAnsi="Times New Roman" w:eastAsia="宋体"/>
                <w:b w:val="0"/>
                <w:sz w:val="22"/>
              </w:rPr>
              <w:t>重点：辨听三个核心主题（大海、辛巴达/王妃、国王），感受交响组曲如何用音乐讲述故事。</w:t>
              <w:br/>
              <w:t>难点：在管弦乐的复杂织体中准确识别各主题的音色标志；理解同一主题在不同乐器、不同力度下所呈现的不同形象。</w:t>
            </w:r>
          </w:p>
        </w:tc>
        <w:tc>
          <w:tcPr>
            <w:tcW w:type="dxa" w:w="1045"/>
          </w:tcPr>
          <w:p>
            <w:r/>
            <w:r>
              <w:rPr>
                <w:rFonts w:ascii="Times New Roman" w:hAnsi="Times New Roman" w:eastAsia="宋体"/>
                <w:b w:val="0"/>
                <w:sz w:val="22"/>
              </w:rPr>
            </w:r>
          </w:p>
        </w:tc>
      </w:tr>
      <w:tr>
        <w:tc>
          <w:tcPr>
            <w:tcW w:type="dxa" w:w="8360"/>
            <w:gridSpan w:val="8"/>
          </w:tcPr>
          <w:p>
            <w:pPr>
              <w:jc w:val="center"/>
            </w:pPr>
            <w:r/>
            <w:r>
              <w:rPr>
                <w:rFonts w:ascii="Times New Roman" w:hAnsi="Times New Roman" w:eastAsia="宋体"/>
                <w:b/>
                <w:sz w:val="22"/>
              </w:rPr>
              <w:t>教学过程</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教学环节</w:t>
            </w:r>
          </w:p>
        </w:tc>
        <w:tc>
          <w:tcPr>
            <w:tcW w:type="dxa" w:w="7315"/>
            <w:gridSpan w:val="7"/>
          </w:tcPr>
          <w:p>
            <w:r/>
            <w:r>
              <w:rPr>
                <w:rFonts w:ascii="Times New Roman" w:hAnsi="Times New Roman" w:eastAsia="宋体"/>
                <w:b w:val="0"/>
                <w:sz w:val="22"/>
              </w:rPr>
              <w:t>（一）导入</w:t>
              <w:br/>
              <w:t>1. 情境创设：</w:t>
              <w:br/>
              <w:t xml:space="preserve">    讲述《一千零一夜》中舍赫拉查达的故事：国王要每晚杀死一个女子，王妃舍赫拉查达靠讲述故事留住了自己的性命。其中辛巴达航海的故事是最精彩的章节之一。</w:t>
              <w:br/>
              <w:t xml:space="preserve">    提问：如果你是作曲家，你会怎样用音乐表现大海和航行？</w:t>
              <w:br/>
              <w:t xml:space="preserve">    学生想象描述后，引入欣赏。</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创设情境</w:t>
              <w:br/>
              <w:br/>
              <w:t>引入课题</w:t>
            </w:r>
          </w:p>
        </w:tc>
        <w:tc>
          <w:tcPr>
            <w:tcW w:type="dxa" w:w="7315"/>
            <w:gridSpan w:val="7"/>
          </w:tcPr>
          <w:p>
            <w:r/>
            <w:r>
              <w:rPr>
                <w:rFonts w:ascii="Times New Roman" w:hAnsi="Times New Roman" w:eastAsia="宋体"/>
                <w:b w:val="0"/>
                <w:sz w:val="22"/>
              </w:rPr>
              <w:t>（二）作品背景</w:t>
              <w:br/>
              <w:t>1. 里姆斯基-科萨科夫（1844—1908）：俄国作曲家，『强力集团』成员，擅长管弦乐配器，代表作有《舍赫拉查达》《西班牙随想曲》《野蜂飞舞》等。</w:t>
              <w:br/>
              <w:t>2. 《舍赫拉查达》是交响组曲，共四个乐章，取材自《一千零一夜》，第一乐章即《大海与辛巴达的船》。</w:t>
              <w:br/>
              <w:t>3. 知识点：交响组曲</w:t>
              <w:br/>
              <w:t xml:space="preserve">    由若干各自独立但又统一于共同主题的乐章组成的标题性管弦乐套曲，无严格曲式规范，常取材于文学或民间故事。</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探究新知</w:t>
              <w:br/>
              <w:br/>
              <w:br/>
              <w:br/>
              <w:br/>
              <w:br/>
              <w:t>讲授新课</w:t>
            </w:r>
          </w:p>
        </w:tc>
        <w:tc>
          <w:tcPr>
            <w:tcW w:type="dxa" w:w="7315"/>
            <w:gridSpan w:val="7"/>
          </w:tcPr>
          <w:p>
            <w:r/>
            <w:r>
              <w:rPr>
                <w:rFonts w:ascii="Times New Roman" w:hAnsi="Times New Roman" w:eastAsia="宋体"/>
                <w:b w:val="0"/>
                <w:sz w:val="22"/>
              </w:rPr>
              <w:t>3. 分主题欣赏</w:t>
              <w:br/>
              <w:t xml:space="preserve">    ① 国王主题（全曲开头）</w:t>
              <w:br/>
              <w:t xml:space="preserve">       长号与大号强奏，威严果断，代表暴戾国王的权威；</w:t>
              <w:br/>
              <w:t xml:space="preserve">       节奏有力，音程跳跃大；</w:t>
              <w:br/>
              <w:t xml:space="preserve">    ② 王妃主题（小提琴独奏）</w:t>
              <w:br/>
              <w:t xml:space="preserve">       独奏小提琴奏出柔美旋律，如讲故事的声音，代表舍赫拉查达/辛巴达；</w:t>
              <w:br/>
              <w:t xml:space="preserve">       音色纤细、婉转，与国王主题形成鲜明对比；</w:t>
              <w:br/>
              <w:t xml:space="preserve">       引导学生哼唱这一旋律。</w:t>
              <w:br/>
              <w:t xml:space="preserve">    ③ 大海主题</w:t>
              <w:br/>
              <w:t xml:space="preserve">       弦乐组的波动音型，模拟海浪涌动；</w:t>
              <w:br/>
              <w:t xml:space="preserve">       力度从弱到强，描绘船只驶入大海的过程；</w:t>
              <w:br/>
              <w:t xml:space="preserve">    ④ 完整欣赏第一乐章</w:t>
              <w:br/>
              <w:t xml:space="preserve">       引导学生关注：三个主题如何交替出现？大海的平静与汹涌如何用力度和配器变化来表现？</w:t>
              <w:br/>
              <w:t>4. 对比分析：</w:t>
              <w:br/>
              <w:t xml:space="preserve">    用表格对比国王主题与王妃主题在音色、力度、情绪方面的不同。</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巩固应用</w:t>
            </w:r>
          </w:p>
        </w:tc>
        <w:tc>
          <w:tcPr>
            <w:tcW w:type="dxa" w:w="7315"/>
            <w:gridSpan w:val="7"/>
          </w:tcPr>
          <w:p>
            <w:r/>
            <w:r>
              <w:rPr>
                <w:rFonts w:ascii="Times New Roman" w:hAnsi="Times New Roman" w:eastAsia="宋体"/>
                <w:b w:val="0"/>
                <w:sz w:val="22"/>
              </w:rPr>
              <w:t>讨论：在这段音乐中，你最喜欢哪段描写？为什么？</w:t>
              <w:br/>
              <w:t>创意活动：为大海主题和辛巴达主题分别画一幅简笔图，用视觉配合听觉表达。</w:t>
              <w:br/>
              <w:t>推荐：课后自主欣赏《舍赫拉查达》第三乐章《年轻的王子与公主》，比较王妃主题的变化。</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四小结</w:t>
            </w:r>
          </w:p>
        </w:tc>
        <w:tc>
          <w:tcPr>
            <w:tcW w:type="dxa" w:w="7315"/>
            <w:gridSpan w:val="7"/>
          </w:tcPr>
          <w:p>
            <w:r/>
            <w:r>
              <w:rPr>
                <w:rFonts w:ascii="Times New Roman" w:hAnsi="Times New Roman" w:eastAsia="宋体"/>
                <w:b w:val="0"/>
                <w:sz w:val="22"/>
              </w:rPr>
              <w:t>总结今天所学内容。</w:t>
            </w:r>
          </w:p>
        </w:tc>
        <w:tc>
          <w:tcPr>
            <w:tcW w:type="dxa" w:w="1045"/>
          </w:tcPr>
          <w:p>
            <w:r/>
            <w:r>
              <w:rPr>
                <w:rFonts w:ascii="Times New Roman" w:hAnsi="Times New Roman" w:eastAsia="宋体"/>
                <w:b w:val="0"/>
                <w:sz w:val="22"/>
              </w:rPr>
            </w:r>
          </w:p>
        </w:tc>
      </w:tr>
      <w:tr>
        <w:tc>
          <w:tcPr>
            <w:tcW w:type="dxa" w:w="9405"/>
            <w:gridSpan w:val="9"/>
          </w:tcPr>
          <w:p>
            <w:r/>
            <w:r>
              <w:rPr>
                <w:rFonts w:ascii="Times New Roman" w:hAnsi="Times New Roman" w:eastAsia="宋体"/>
                <w:b w:val="0"/>
                <w:sz w:val="22"/>
              </w:rPr>
              <w:t>板书设计  《大海与辛巴达的船》</w:t>
              <w:br/>
              <w:t>曲：〔俄〕里姆斯基-科萨科夫</w:t>
              <w:br/>
              <w:t>选自交响组曲《舍赫拉查达》第一乐章</w:t>
              <w:br/>
              <w:t>体裁：交响组曲（标题音乐）</w:t>
              <w:br/>
              <w:t>国王主题：铜管强奏——威严、果断</w:t>
              <w:br/>
              <w:t>王妃主题：小提琴独奏——柔美、神秘</w:t>
              <w:br/>
              <w:t>大海主题：弦乐波动——壮阔、汹涌</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