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28"/>
        </w:rPr>
        <w:t>德兴市二中（音乐 ）电子集体备课</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360"/>
            <w:gridSpan w:val="8"/>
          </w:tcPr>
          <w:p>
            <w:pPr>
              <w:jc w:val="center"/>
            </w:pPr>
            <w:r/>
            <w:r>
              <w:rPr>
                <w:rFonts w:ascii="Times New Roman" w:hAnsi="Times New Roman" w:eastAsia="宋体"/>
                <w:b/>
                <w:sz w:val="22"/>
              </w:rPr>
              <w:t>基本信息</w:t>
            </w:r>
          </w:p>
        </w:tc>
        <w:tc>
          <w:tcPr>
            <w:tcW w:type="dxa" w:w="1045"/>
          </w:tcPr>
          <w:p>
            <w:r/>
            <w:r>
              <w:rPr>
                <w:rFonts w:ascii="Times New Roman" w:hAnsi="Times New Roman" w:eastAsia="宋体"/>
                <w:b w:val="0"/>
                <w:sz w:val="22"/>
              </w:rPr>
            </w:r>
          </w:p>
        </w:tc>
      </w:tr>
      <w:tr>
        <w:tc>
          <w:tcPr>
            <w:tcW w:type="dxa" w:w="2090"/>
            <w:gridSpan w:val="2"/>
          </w:tcPr>
          <w:p>
            <w:pPr>
              <w:jc w:val="center"/>
            </w:pPr>
            <w:r/>
            <w:r>
              <w:rPr>
                <w:rFonts w:ascii="Times New Roman" w:hAnsi="Times New Roman" w:eastAsia="宋体"/>
                <w:b/>
                <w:sz w:val="22"/>
              </w:rPr>
              <w:t>年级</w:t>
            </w:r>
          </w:p>
        </w:tc>
        <w:tc>
          <w:tcPr>
            <w:tcW w:type="dxa" w:w="1045"/>
          </w:tcPr>
          <w:p>
            <w:pPr>
              <w:jc w:val="center"/>
            </w:pPr>
            <w:r/>
            <w:r>
              <w:rPr>
                <w:rFonts w:ascii="Times New Roman" w:hAnsi="Times New Roman" w:eastAsia="宋体"/>
                <w:b w:val="0"/>
                <w:sz w:val="22"/>
              </w:rPr>
              <w:t>八</w:t>
            </w:r>
          </w:p>
        </w:tc>
        <w:tc>
          <w:tcPr>
            <w:tcW w:type="dxa" w:w="1045"/>
          </w:tcPr>
          <w:p>
            <w:pPr>
              <w:jc w:val="center"/>
            </w:pPr>
            <w:r/>
            <w:r>
              <w:rPr>
                <w:rFonts w:ascii="Times New Roman" w:hAnsi="Times New Roman" w:eastAsia="宋体"/>
                <w:b/>
                <w:sz w:val="22"/>
              </w:rPr>
              <w:t>学科</w:t>
            </w:r>
          </w:p>
        </w:tc>
        <w:tc>
          <w:tcPr>
            <w:tcW w:type="dxa" w:w="1045"/>
          </w:tcPr>
          <w:p>
            <w:pPr>
              <w:jc w:val="center"/>
            </w:pPr>
            <w:r/>
            <w:r>
              <w:rPr>
                <w:rFonts w:ascii="Times New Roman" w:hAnsi="Times New Roman" w:eastAsia="宋体"/>
                <w:b w:val="0"/>
                <w:sz w:val="22"/>
              </w:rPr>
              <w:t>音乐</w:t>
            </w:r>
          </w:p>
        </w:tc>
        <w:tc>
          <w:tcPr>
            <w:tcW w:type="dxa" w:w="1045"/>
          </w:tcPr>
          <w:p>
            <w:pPr>
              <w:jc w:val="center"/>
            </w:pPr>
            <w:r/>
            <w:r>
              <w:rPr>
                <w:rFonts w:ascii="Times New Roman" w:hAnsi="Times New Roman" w:eastAsia="宋体"/>
                <w:b/>
                <w:sz w:val="22"/>
              </w:rPr>
              <w:t>主备教师</w:t>
            </w:r>
          </w:p>
        </w:tc>
        <w:tc>
          <w:tcPr>
            <w:tcW w:type="dxa" w:w="1045"/>
          </w:tcPr>
          <w:p>
            <w:pPr>
              <w:jc w:val="center"/>
            </w:pPr>
            <w:r/>
            <w:r>
              <w:rPr>
                <w:rFonts w:ascii="Times New Roman" w:hAnsi="Times New Roman" w:eastAsia="宋体"/>
                <w:b w:val="0"/>
                <w:sz w:val="22"/>
              </w:rPr>
              <w:t>林辰钰</w:t>
            </w:r>
          </w:p>
        </w:tc>
        <w:tc>
          <w:tcPr>
            <w:tcW w:type="dxa" w:w="1045"/>
          </w:tcPr>
          <w:p>
            <w:pPr>
              <w:jc w:val="center"/>
            </w:pPr>
            <w:r/>
            <w:r>
              <w:rPr>
                <w:rFonts w:ascii="Times New Roman" w:hAnsi="Times New Roman" w:eastAsia="宋体"/>
                <w:b/>
                <w:sz w:val="22"/>
              </w:rPr>
              <w:t>附备教师</w:t>
            </w:r>
          </w:p>
        </w:tc>
        <w:tc>
          <w:tcPr>
            <w:tcW w:type="dxa" w:w="1045"/>
          </w:tcPr>
          <w:p>
            <w:r/>
            <w:r>
              <w:rPr>
                <w:rFonts w:ascii="Times New Roman" w:hAnsi="Times New Roman" w:eastAsia="宋体"/>
                <w:b w:val="0"/>
                <w:sz w:val="22"/>
              </w:rPr>
            </w:r>
          </w:p>
        </w:tc>
      </w:tr>
      <w:tr>
        <w:tc>
          <w:tcPr>
            <w:tcW w:type="dxa" w:w="2090"/>
            <w:gridSpan w:val="2"/>
          </w:tcPr>
          <w:p>
            <w:pPr>
              <w:jc w:val="center"/>
            </w:pPr>
            <w:r/>
            <w:r>
              <w:rPr>
                <w:rFonts w:ascii="Times New Roman" w:hAnsi="Times New Roman" w:eastAsia="宋体"/>
                <w:b/>
                <w:sz w:val="22"/>
              </w:rPr>
              <w:t>课题</w:t>
            </w:r>
          </w:p>
        </w:tc>
        <w:tc>
          <w:tcPr>
            <w:tcW w:type="dxa" w:w="6270"/>
            <w:gridSpan w:val="6"/>
          </w:tcPr>
          <w:p>
            <w:pPr>
              <w:jc w:val="center"/>
            </w:pPr>
            <w:r/>
            <w:r>
              <w:rPr>
                <w:rFonts w:ascii="Times New Roman" w:hAnsi="Times New Roman" w:eastAsia="宋体"/>
                <w:b w:val="0"/>
                <w:sz w:val="22"/>
              </w:rPr>
              <w:t>《凯皮拉的小火车》</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素养目标</w:t>
            </w:r>
          </w:p>
        </w:tc>
        <w:tc>
          <w:tcPr>
            <w:tcW w:type="dxa" w:w="1045"/>
          </w:tcPr>
          <w:p>
            <w:pPr>
              <w:jc w:val="center"/>
            </w:pPr>
            <w:r/>
            <w:r>
              <w:rPr>
                <w:rFonts w:ascii="Times New Roman" w:hAnsi="Times New Roman" w:eastAsia="宋体"/>
                <w:b/>
                <w:sz w:val="22"/>
              </w:rPr>
              <w:t>二次备课</w:t>
            </w:r>
          </w:p>
        </w:tc>
      </w:tr>
      <w:tr>
        <w:tc>
          <w:tcPr>
            <w:tcW w:type="dxa" w:w="8360"/>
            <w:gridSpan w:val="8"/>
          </w:tcPr>
          <w:p>
            <w:r/>
            <w:r>
              <w:rPr>
                <w:rFonts w:ascii="Times New Roman" w:hAnsi="Times New Roman" w:eastAsia="宋体"/>
                <w:b w:val="0"/>
                <w:sz w:val="22"/>
              </w:rPr>
              <w:t>知识目标：了解巴西作曲家维拉-洛博斯及其《巴赫风格的巴西音乐》组曲；认识标题音乐中模仿描写的手法；了解管弦乐如何模拟火车启动、行驶、加速、到站的声响。</w:t>
              <w:br/>
              <w:t>能力目标：能够在聆听中辨认音乐模拟火车的各个阶段（启动、加速、行驶、减速、到站），用语言描述各段音乐所用的乐器与音响特点，感受音乐的画面感。</w:t>
              <w:br/>
              <w:t>情感目标：体验音乐描绘生活场景的趣味性，感受巴西音乐融合欧洲作曲技法与南美风情的独特风格，激发对不同文化音乐的好奇心与探究欲。</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教学重点和难点</w:t>
            </w:r>
          </w:p>
        </w:tc>
        <w:tc>
          <w:tcPr>
            <w:tcW w:type="dxa" w:w="1045"/>
          </w:tcPr>
          <w:p>
            <w:r/>
            <w:r>
              <w:rPr>
                <w:rFonts w:ascii="Times New Roman" w:hAnsi="Times New Roman" w:eastAsia="宋体"/>
                <w:b w:val="0"/>
                <w:sz w:val="22"/>
              </w:rPr>
            </w:r>
          </w:p>
        </w:tc>
      </w:tr>
      <w:tr>
        <w:tc>
          <w:tcPr>
            <w:tcW w:type="dxa" w:w="8360"/>
            <w:gridSpan w:val="8"/>
          </w:tcPr>
          <w:p>
            <w:r/>
            <w:r>
              <w:rPr>
                <w:rFonts w:ascii="Times New Roman" w:hAnsi="Times New Roman" w:eastAsia="宋体"/>
                <w:b w:val="0"/>
                <w:sz w:val="22"/>
              </w:rPr>
              <w:t>重点：聆听辨别《凯皮拉的小火车》各段音乐与火车行进阶段的对应；分析音乐要素（节奏、速度、力度）如何模拟火车声响。</w:t>
              <w:br/>
              <w:t>难点：理解作曲家如何将巴赫复调技法与巴西民间音乐元素结合；在管弦乐复杂音响中辨别代表火车的节奏型。</w:t>
            </w:r>
          </w:p>
        </w:tc>
        <w:tc>
          <w:tcPr>
            <w:tcW w:type="dxa" w:w="1045"/>
          </w:tcPr>
          <w:p>
            <w:r/>
            <w:r>
              <w:rPr>
                <w:rFonts w:ascii="Times New Roman" w:hAnsi="Times New Roman" w:eastAsia="宋体"/>
                <w:b w:val="0"/>
                <w:sz w:val="22"/>
              </w:rPr>
            </w:r>
          </w:p>
        </w:tc>
      </w:tr>
      <w:tr>
        <w:tc>
          <w:tcPr>
            <w:tcW w:type="dxa" w:w="8360"/>
            <w:gridSpan w:val="8"/>
          </w:tcPr>
          <w:p>
            <w:pPr>
              <w:jc w:val="center"/>
            </w:pPr>
            <w:r/>
            <w:r>
              <w:rPr>
                <w:rFonts w:ascii="Times New Roman" w:hAnsi="Times New Roman" w:eastAsia="宋体"/>
                <w:b/>
                <w:sz w:val="22"/>
              </w:rPr>
              <w:t>教学过程</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教学环节</w:t>
            </w:r>
          </w:p>
        </w:tc>
        <w:tc>
          <w:tcPr>
            <w:tcW w:type="dxa" w:w="7315"/>
            <w:gridSpan w:val="7"/>
          </w:tcPr>
          <w:p>
            <w:r/>
            <w:r>
              <w:rPr>
                <w:rFonts w:ascii="Times New Roman" w:hAnsi="Times New Roman" w:eastAsia="宋体"/>
                <w:b w:val="0"/>
                <w:sz w:val="22"/>
              </w:rPr>
              <w:t>（一）导入</w:t>
              <w:br/>
              <w:t>1. 情境创设：</w:t>
              <w:br/>
              <w:t xml:space="preserve">    播放火车启动、加速、行驶的真实音效，学生闭眼聆听，想象画面。</w:t>
              <w:br/>
              <w:t xml:space="preserve">    提问：『如果让你用乐器模仿这些火车声，你会用什么乐器？怎么演奏？』</w:t>
              <w:br/>
              <w:t xml:space="preserve">    学生讨论后，教师揭示：今天欣赏的作品正是巴西作曲家用管弦乐描绘一列行驶在巴西内地的小火车——《凯皮拉的小火车》。</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创设情境</w:t>
              <w:br/>
              <w:br/>
              <w:t>引入课题</w:t>
            </w:r>
          </w:p>
        </w:tc>
        <w:tc>
          <w:tcPr>
            <w:tcW w:type="dxa" w:w="7315"/>
            <w:gridSpan w:val="7"/>
          </w:tcPr>
          <w:p>
            <w:r/>
            <w:r>
              <w:rPr>
                <w:rFonts w:ascii="Times New Roman" w:hAnsi="Times New Roman" w:eastAsia="宋体"/>
                <w:b w:val="0"/>
                <w:sz w:val="22"/>
              </w:rPr>
              <w:t>（二）作品背景</w:t>
              <w:br/>
              <w:t>1. 维拉-洛博斯（1887—1959）：巴西最重要的作曲家，自幼学习乐器，作品融合了巴赫的复调技法与巴西民间音乐。</w:t>
              <w:br/>
              <w:t>2. 《巴赫风格的巴西音乐》（Bachianas Brasileiras）是他最著名的系列作品，共9首，将巴赫对位风格与巴西音乐节奏、旋律相结合。《凯皮拉的小火车》是第二首中的托卡塔（谐谑曲）部分。</w:t>
              <w:br/>
              <w:t>3. 凯皮拉（Caipira）：巴西内地农村的称呼，作品描写一列行驶在巴西农村内地的小火车。</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探究新知</w:t>
              <w:br/>
              <w:br/>
              <w:br/>
              <w:br/>
              <w:br/>
              <w:br/>
              <w:t>讲授新课</w:t>
            </w:r>
          </w:p>
        </w:tc>
        <w:tc>
          <w:tcPr>
            <w:tcW w:type="dxa" w:w="7315"/>
            <w:gridSpan w:val="7"/>
          </w:tcPr>
          <w:p>
            <w:r/>
            <w:r>
              <w:rPr>
                <w:rFonts w:ascii="Times New Roman" w:hAnsi="Times New Roman" w:eastAsia="宋体"/>
                <w:b w:val="0"/>
                <w:sz w:val="22"/>
              </w:rPr>
              <w:t>3. 分段欣赏</w:t>
              <w:br/>
              <w:t xml:space="preserve">    ① 启动阶段（开头）</w:t>
              <w:br/>
              <w:t xml:space="preserve">       弦乐拨奏+节奏敲击，模拟火车发动机启动声；速度极慢，力度弱；</w:t>
              <w:br/>
              <w:t xml:space="preserve">    ② 缓慢行进</w:t>
              <w:br/>
              <w:t xml:space="preserve">       节奏型逐渐加密，速度渐快，弦乐组主奏，模拟车轮摩擦铁轨声；</w:t>
              <w:br/>
              <w:t xml:space="preserve">    ③ 全速行驶</w:t>
              <w:br/>
              <w:t xml:space="preserve">       速度极快，节奏密集，打击乐加入，全乐队轰鸣，模拟火车高速行驶；</w:t>
              <w:br/>
              <w:t xml:space="preserve">       出现巴西民间风格旋律，欢快活泼；</w:t>
              <w:br/>
              <w:t xml:space="preserve">    ④ 减速到站</w:t>
              <w:br/>
              <w:t xml:space="preserve">       速度逐渐减慢，力度渐弱，节奏型拉宽，模拟火车进站；</w:t>
              <w:br/>
              <w:t xml:space="preserve">       最终停止，像车轮摩擦减速最终静止。</w:t>
              <w:br/>
              <w:t>4. 对比分析：</w:t>
              <w:br/>
              <w:t xml:space="preserve">    列表对比各阶段的速度、力度、主要乐器。</w:t>
              <w:br/>
              <w:t xml:space="preserve">    讨论：同一节奏型在快慢不同速度下给人的感受有什么不同？</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巩固应用</w:t>
            </w:r>
          </w:p>
        </w:tc>
        <w:tc>
          <w:tcPr>
            <w:tcW w:type="dxa" w:w="7315"/>
            <w:gridSpan w:val="7"/>
          </w:tcPr>
          <w:p>
            <w:r/>
            <w:r>
              <w:rPr>
                <w:rFonts w:ascii="Times New Roman" w:hAnsi="Times New Roman" w:eastAsia="宋体"/>
                <w:b w:val="0"/>
                <w:sz w:val="22"/>
              </w:rPr>
              <w:t>完整欣赏《凯皮拉的小火车》，学生边听边用手拍击火车节奏型，随速度变化调整拍击速度。</w:t>
              <w:br/>
              <w:t>拓展思考：你知道哪些其他用音乐描绘交通工具或机械的名曲？（如柴可夫斯基《1812序曲》的大炮声、帕西菲克231等）</w:t>
            </w:r>
          </w:p>
        </w:tc>
        <w:tc>
          <w:tcPr>
            <w:tcW w:type="dxa" w:w="1045"/>
          </w:tcPr>
          <w:p>
            <w:r/>
            <w:r>
              <w:rPr>
                <w:rFonts w:ascii="Times New Roman" w:hAnsi="Times New Roman" w:eastAsia="宋体"/>
                <w:b w:val="0"/>
                <w:sz w:val="22"/>
              </w:rPr>
            </w:r>
          </w:p>
        </w:tc>
      </w:tr>
      <w:tr>
        <w:tc>
          <w:tcPr>
            <w:tcW w:type="dxa" w:w="1045"/>
          </w:tcPr>
          <w:p>
            <w:pPr>
              <w:jc w:val="center"/>
            </w:pPr>
            <w:r/>
            <w:r>
              <w:rPr>
                <w:rFonts w:ascii="Times New Roman" w:hAnsi="Times New Roman" w:eastAsia="宋体"/>
                <w:b/>
                <w:sz w:val="22"/>
              </w:rPr>
              <w:t>四小结</w:t>
            </w:r>
          </w:p>
        </w:tc>
        <w:tc>
          <w:tcPr>
            <w:tcW w:type="dxa" w:w="7315"/>
            <w:gridSpan w:val="7"/>
          </w:tcPr>
          <w:p>
            <w:r/>
            <w:r>
              <w:rPr>
                <w:rFonts w:ascii="Times New Roman" w:hAnsi="Times New Roman" w:eastAsia="宋体"/>
                <w:b w:val="0"/>
                <w:sz w:val="22"/>
              </w:rPr>
              <w:t>总结今天所学内容。</w:t>
            </w:r>
          </w:p>
        </w:tc>
        <w:tc>
          <w:tcPr>
            <w:tcW w:type="dxa" w:w="1045"/>
          </w:tcPr>
          <w:p>
            <w:r/>
            <w:r>
              <w:rPr>
                <w:rFonts w:ascii="Times New Roman" w:hAnsi="Times New Roman" w:eastAsia="宋体"/>
                <w:b w:val="0"/>
                <w:sz w:val="22"/>
              </w:rPr>
            </w:r>
          </w:p>
        </w:tc>
      </w:tr>
      <w:tr>
        <w:tc>
          <w:tcPr>
            <w:tcW w:type="dxa" w:w="9405"/>
            <w:gridSpan w:val="9"/>
          </w:tcPr>
          <w:p>
            <w:r/>
            <w:r>
              <w:rPr>
                <w:rFonts w:ascii="Times New Roman" w:hAnsi="Times New Roman" w:eastAsia="宋体"/>
                <w:b w:val="0"/>
                <w:sz w:val="22"/>
              </w:rPr>
              <w:t>板书设计  《凯皮拉的小火车》</w:t>
              <w:br/>
              <w:t>曲：〔巴西〕维拉-洛博斯</w:t>
              <w:br/>
              <w:t>选自《巴赫风格的巴西音乐》第二首</w:t>
              <w:br/>
              <w:t>标题音乐：音乐描绘火车行进全过程</w:t>
              <w:br/>
              <w:t>启动（慢）→ 加速 → 全速（快）→ 减速 → 到站（停）</w:t>
              <w:br/>
              <w:t>特点：巴赫复调技法 + 巴西民间节奏</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