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5F9295">
      <w:pPr>
        <w:spacing w:after="160"/>
        <w:jc w:val="center"/>
        <w:rPr>
          <w:rFonts w:hint="default" w:ascii="Arial" w:hAnsi="Arial" w:cs="Arial"/>
          <w:sz w:val="36"/>
          <w:szCs w:val="36"/>
          <w:highlight w:val="none"/>
        </w:rPr>
      </w:pPr>
      <w:r>
        <w:rPr>
          <w:rFonts w:hint="default" w:ascii="Arial" w:hAnsi="Arial" w:cs="Arial"/>
          <w:b/>
          <w:sz w:val="36"/>
          <w:szCs w:val="36"/>
          <w:highlight w:val="none"/>
        </w:rPr>
        <w:t>Emotional distress drives change in adolescent problematic digital use and related symptoms</w:t>
      </w:r>
    </w:p>
    <w:p w14:paraId="7882169F">
      <w:pPr>
        <w:keepNext w:val="0"/>
        <w:keepLines w:val="0"/>
        <w:pageBreakBefore w:val="0"/>
        <w:widowControl/>
        <w:kinsoku/>
        <w:wordWrap/>
        <w:overflowPunct/>
        <w:topLinePunct w:val="0"/>
        <w:autoSpaceDE/>
        <w:autoSpaceDN/>
        <w:bidi w:val="0"/>
        <w:adjustRightInd/>
        <w:snapToGrid/>
        <w:spacing w:after="60"/>
        <w:jc w:val="center"/>
        <w:textAlignment w:val="auto"/>
        <w:rPr>
          <w:rFonts w:hint="default" w:ascii="Arial" w:hAnsi="Arial" w:cs="Arial"/>
          <w:highlight w:val="none"/>
          <w:lang w:val="en-US"/>
        </w:rPr>
      </w:pPr>
      <w:r>
        <w:rPr>
          <w:rFonts w:hint="default" w:ascii="Arial" w:hAnsi="Arial" w:cs="Arial"/>
          <w:sz w:val="22"/>
          <w:highlight w:val="none"/>
        </w:rPr>
        <w:t>Jing Zhang</w:t>
      </w:r>
      <w:r>
        <w:rPr>
          <w:rFonts w:hint="default" w:ascii="Arial" w:hAnsi="Arial" w:eastAsia="宋体" w:cs="Arial"/>
          <w:sz w:val="22"/>
          <w:highlight w:val="none"/>
          <w:vertAlign w:val="superscript"/>
          <w:lang w:val="en-US" w:eastAsia="zh-CN"/>
        </w:rPr>
        <w:t>1</w:t>
      </w:r>
      <w:r>
        <w:rPr>
          <w:rFonts w:hint="default" w:ascii="Arial" w:hAnsi="Arial" w:cs="Arial"/>
          <w:sz w:val="22"/>
          <w:highlight w:val="none"/>
        </w:rPr>
        <w:t>, Ling Zhang</w:t>
      </w:r>
      <w:r>
        <w:rPr>
          <w:rFonts w:hint="default" w:ascii="Arial" w:hAnsi="Arial" w:eastAsia="宋体" w:cs="Arial"/>
          <w:sz w:val="22"/>
          <w:highlight w:val="none"/>
          <w:vertAlign w:val="superscript"/>
          <w:lang w:val="en-US" w:eastAsia="zh-CN"/>
        </w:rPr>
        <w:t>2</w:t>
      </w:r>
      <w:r>
        <w:rPr>
          <w:rFonts w:hint="default" w:ascii="Arial" w:hAnsi="Arial" w:cs="Arial"/>
          <w:sz w:val="22"/>
          <w:highlight w:val="none"/>
        </w:rPr>
        <w:t>, Xizhe Zhang</w:t>
      </w:r>
      <w:r>
        <w:rPr>
          <w:rFonts w:hint="default" w:ascii="Arial" w:hAnsi="Arial" w:eastAsia="宋体" w:cs="Arial"/>
          <w:sz w:val="22"/>
          <w:highlight w:val="none"/>
          <w:vertAlign w:val="superscript"/>
          <w:lang w:val="en-US" w:eastAsia="zh-CN"/>
        </w:rPr>
        <w:t>1,2,3</w:t>
      </w:r>
      <w:r>
        <w:rPr>
          <w:rFonts w:hint="eastAsia" w:ascii="Arial" w:hAnsi="Arial" w:eastAsia="宋体" w:cs="Arial"/>
          <w:sz w:val="22"/>
          <w:highlight w:val="none"/>
          <w:vertAlign w:val="superscript"/>
          <w:lang w:val="en-US" w:eastAsia="zh-CN"/>
        </w:rPr>
        <w:t>*</w:t>
      </w:r>
    </w:p>
    <w:p w14:paraId="504EDC10">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Arial" w:hAnsi="Arial" w:cs="Arial"/>
          <w:highlight w:val="none"/>
        </w:rPr>
      </w:pPr>
      <w:r>
        <w:rPr>
          <w:rFonts w:hint="eastAsia" w:ascii="Arial" w:hAnsi="Arial" w:eastAsia="宋体" w:cs="Arial"/>
          <w:sz w:val="19"/>
          <w:highlight w:val="none"/>
          <w:vertAlign w:val="superscript"/>
          <w:lang w:val="en-US" w:eastAsia="zh-CN"/>
        </w:rPr>
        <w:t xml:space="preserve">1 </w:t>
      </w:r>
      <w:r>
        <w:rPr>
          <w:rFonts w:hint="default" w:ascii="Arial" w:hAnsi="Arial" w:cs="Arial"/>
          <w:sz w:val="19"/>
          <w:highlight w:val="none"/>
        </w:rPr>
        <w:t>Nanjing Children's Hospital, Nanjing Medical University, Nanjing, China</w:t>
      </w:r>
    </w:p>
    <w:p w14:paraId="288C8C6A">
      <w:pPr>
        <w:keepNext w:val="0"/>
        <w:keepLines w:val="0"/>
        <w:pageBreakBefore w:val="0"/>
        <w:widowControl/>
        <w:kinsoku/>
        <w:wordWrap/>
        <w:overflowPunct/>
        <w:topLinePunct w:val="0"/>
        <w:autoSpaceDE/>
        <w:autoSpaceDN/>
        <w:bidi w:val="0"/>
        <w:adjustRightInd/>
        <w:snapToGrid/>
        <w:spacing w:after="0"/>
        <w:jc w:val="center"/>
        <w:textAlignment w:val="auto"/>
        <w:rPr>
          <w:rFonts w:hint="eastAsia" w:ascii="Arial" w:hAnsi="Arial" w:eastAsia="宋体" w:cs="Arial"/>
          <w:sz w:val="19"/>
          <w:highlight w:val="none"/>
          <w:lang w:val="en-US" w:eastAsia="zh-CN"/>
        </w:rPr>
      </w:pPr>
      <w:r>
        <w:rPr>
          <w:rFonts w:hint="eastAsia" w:ascii="Arial" w:hAnsi="Arial" w:eastAsia="宋体" w:cs="Arial"/>
          <w:sz w:val="19"/>
          <w:highlight w:val="none"/>
          <w:vertAlign w:val="superscript"/>
          <w:lang w:val="en-US" w:eastAsia="zh-CN"/>
        </w:rPr>
        <w:t>2</w:t>
      </w:r>
      <w:r>
        <w:rPr>
          <w:rFonts w:hint="default" w:ascii="Arial" w:hAnsi="Arial" w:cs="Arial"/>
          <w:sz w:val="19"/>
          <w:highlight w:val="none"/>
          <w:vertAlign w:val="superscript"/>
        </w:rPr>
        <w:t xml:space="preserve"> </w:t>
      </w:r>
      <w:r>
        <w:rPr>
          <w:rFonts w:hint="default" w:ascii="Arial" w:hAnsi="Arial" w:cs="Arial"/>
          <w:sz w:val="19"/>
          <w:highlight w:val="none"/>
        </w:rPr>
        <w:t>School of Biomedical Engineering and Informatics, Nanjing Medical University, Nanjing, Chin</w:t>
      </w:r>
      <w:r>
        <w:rPr>
          <w:rFonts w:hint="eastAsia" w:ascii="Arial" w:hAnsi="Arial" w:eastAsia="宋体" w:cs="Arial"/>
          <w:sz w:val="19"/>
          <w:highlight w:val="none"/>
          <w:lang w:val="en-US" w:eastAsia="zh-CN"/>
        </w:rPr>
        <w:t>a</w:t>
      </w:r>
    </w:p>
    <w:p w14:paraId="248F792B">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Arial" w:hAnsi="Arial" w:cs="Arial"/>
          <w:sz w:val="19"/>
          <w:highlight w:val="none"/>
        </w:rPr>
      </w:pPr>
      <w:r>
        <w:rPr>
          <w:rFonts w:hint="default" w:ascii="Arial" w:hAnsi="Arial" w:eastAsia="宋体" w:cs="Arial"/>
          <w:sz w:val="19"/>
          <w:highlight w:val="none"/>
          <w:vertAlign w:val="superscript"/>
          <w:lang w:val="en-US" w:eastAsia="zh-CN"/>
        </w:rPr>
        <w:t>3</w:t>
      </w:r>
      <w:r>
        <w:rPr>
          <w:rFonts w:hint="default" w:ascii="Arial" w:hAnsi="Arial" w:cs="Arial"/>
          <w:sz w:val="19"/>
          <w:highlight w:val="none"/>
        </w:rPr>
        <w:t xml:space="preserve"> Nanjing Brain Hospital</w:t>
      </w:r>
      <w:r>
        <w:rPr>
          <w:rFonts w:hint="eastAsia" w:ascii="Arial" w:hAnsi="Arial" w:eastAsia="宋体" w:cs="Arial"/>
          <w:sz w:val="19"/>
          <w:highlight w:val="none"/>
          <w:lang w:val="en-US" w:eastAsia="zh-CN"/>
        </w:rPr>
        <w:t xml:space="preserve">, </w:t>
      </w:r>
      <w:r>
        <w:rPr>
          <w:rFonts w:hint="default" w:ascii="Arial" w:hAnsi="Arial" w:cs="Arial"/>
          <w:sz w:val="19"/>
          <w:highlight w:val="none"/>
        </w:rPr>
        <w:t>Nanjing Medical University, Nanjing, China</w:t>
      </w:r>
    </w:p>
    <w:p w14:paraId="4858727D">
      <w:pPr>
        <w:spacing w:after="0"/>
        <w:jc w:val="center"/>
        <w:rPr>
          <w:rFonts w:hint="default" w:ascii="Arial" w:hAnsi="Arial" w:cs="Arial"/>
          <w:highlight w:val="none"/>
        </w:rPr>
      </w:pPr>
      <w:r>
        <w:rPr>
          <w:rFonts w:hint="eastAsia" w:ascii="Arial" w:hAnsi="Arial" w:eastAsia="宋体" w:cs="Arial"/>
          <w:sz w:val="19"/>
          <w:highlight w:val="none"/>
          <w:lang w:val="en-US" w:eastAsia="zh-CN"/>
        </w:rPr>
        <w:t>*</w:t>
      </w:r>
      <w:r>
        <w:rPr>
          <w:rFonts w:hint="default" w:ascii="Arial" w:hAnsi="Arial" w:cs="Arial"/>
          <w:sz w:val="19"/>
          <w:highlight w:val="none"/>
        </w:rPr>
        <w:t xml:space="preserve"> Correspondence: Xizhe Zhang, zhangxizhe@njmu.edu.cn</w:t>
      </w:r>
    </w:p>
    <w:p w14:paraId="07145061">
      <w:pPr>
        <w:spacing w:before="100" w:after="200"/>
        <w:jc w:val="center"/>
        <w:rPr>
          <w:rFonts w:hint="default" w:ascii="Arial" w:hAnsi="Arial" w:cs="Arial"/>
          <w:highlight w:val="none"/>
        </w:rPr>
      </w:pPr>
      <w:r>
        <w:rPr>
          <w:rFonts w:hint="default" w:ascii="Arial" w:hAnsi="Arial" w:cs="Arial"/>
          <w:i/>
          <w:sz w:val="19"/>
          <w:highlight w:val="none"/>
        </w:rPr>
        <w:t>Running title: Temporal ordering of adolescent digital use</w:t>
      </w:r>
    </w:p>
    <w:p w14:paraId="218D32AA">
      <w:pPr>
        <w:pStyle w:val="3"/>
        <w:keepNext/>
        <w:rPr>
          <w:highlight w:val="none"/>
        </w:rPr>
      </w:pPr>
      <w:r>
        <w:rPr>
          <w:highlight w:val="none"/>
        </w:rPr>
        <w:t>Abstract</w:t>
      </w:r>
    </w:p>
    <w:p w14:paraId="584D47B4">
      <w:pPr>
        <w:spacing w:after="200"/>
        <w:rPr>
          <w:rFonts w:hint="eastAsia"/>
          <w:highlight w:val="none"/>
        </w:rPr>
      </w:pPr>
      <w:r>
        <w:rPr>
          <w:rFonts w:hint="eastAsia"/>
          <w:highlight w:val="none"/>
        </w:rPr>
        <w:t>Whether adolescent problematic digital use precedes or follows broader mental-health difficulties remains unresolved. In the School-based Evaluation Advancing Response for Child Health (SEARCH) cohort in China (N=10,356; n=6,092 reassessed about one year later), emotional distress was the principal temporal driver (+0.249, 95% CI 0.086 to 0.418), predicting later problematic digital use, insomnia, behavioural difficulties and diet, whereas digital use was neutral</w:t>
      </w:r>
      <w:r>
        <w:rPr>
          <w:rFonts w:hint="eastAsia" w:eastAsia="宋体"/>
          <w:highlight w:val="none"/>
          <w:lang w:val="en-US" w:eastAsia="zh-CN"/>
        </w:rPr>
        <w:t xml:space="preserve">. </w:t>
      </w:r>
      <w:r>
        <w:rPr>
          <w:rFonts w:hint="eastAsia"/>
          <w:highlight w:val="none"/>
        </w:rPr>
        <w:t>Extending this pattern, the UK Millennium Cohort Study (n=7,838) identified social-media use as the strongest sink (−0.211, 95% CI −0.260 to −0.139), whereas hyperactivity/inattention was the leading source. Structurally, control differed from temporal directionality, whereas Bayesian modelling converged on an emotion-as-source architecture. Finally, Global Mind Project triangulation (n=147,506) identified emotion as the strongest hub. Together, these findings identify emotional distress as the principal temporal driver and screen-related behaviours as components, rather than primary upstream causes, of broader psychopathology.</w:t>
      </w:r>
    </w:p>
    <w:p w14:paraId="2E3C8439">
      <w:pPr>
        <w:spacing w:after="200"/>
        <w:rPr>
          <w:b w:val="0"/>
          <w:bCs/>
          <w:highlight w:val="none"/>
        </w:rPr>
      </w:pPr>
      <w:r>
        <w:rPr>
          <w:b/>
          <w:highlight w:val="none"/>
        </w:rPr>
        <w:t xml:space="preserve">Keywords: </w:t>
      </w:r>
      <w:r>
        <w:rPr>
          <w:rFonts w:hint="eastAsia"/>
          <w:b w:val="0"/>
          <w:bCs/>
          <w:highlight w:val="none"/>
        </w:rPr>
        <w:t>adolescent mental health; emotional distress; problematic digital use; social media use; cross-lagged panel network; network control</w:t>
      </w:r>
    </w:p>
    <w:p w14:paraId="43F24CD3">
      <w:pPr>
        <w:pStyle w:val="3"/>
        <w:keepNext/>
        <w:rPr>
          <w:highlight w:val="none"/>
        </w:rPr>
      </w:pPr>
      <w:r>
        <w:rPr>
          <w:highlight w:val="none"/>
        </w:rPr>
        <w:t>Introduction</w:t>
      </w:r>
    </w:p>
    <w:p w14:paraId="21984705">
      <w:pPr>
        <w:rPr>
          <w:rFonts w:hint="eastAsia"/>
          <w:highlight w:val="none"/>
        </w:rPr>
      </w:pPr>
      <w:r>
        <w:rPr>
          <w:rFonts w:hint="eastAsia"/>
          <w:highlight w:val="none"/>
        </w:rPr>
        <w:t>Mental-health difficulties are widespread among young people</w:t>
      </w:r>
      <w:r>
        <w:rPr>
          <w:rFonts w:hint="eastAsia" w:eastAsia="宋体"/>
          <w:highlight w:val="none"/>
          <w:vertAlign w:val="superscript"/>
          <w:lang w:val="en-US" w:eastAsia="zh-CN"/>
        </w:rPr>
        <w:t>1</w:t>
      </w:r>
      <w:r>
        <w:rPr>
          <w:rFonts w:hint="eastAsia"/>
          <w:highlight w:val="none"/>
        </w:rPr>
        <w:t>. Within this context, adolescent problematic digital use rarely occurs in isolation. Problematic internet or smartphone use is associated with emotional distress and broader behavioural difficulties</w:t>
      </w:r>
      <w:r>
        <w:rPr>
          <w:rFonts w:hint="eastAsia" w:eastAsia="宋体"/>
          <w:highlight w:val="none"/>
          <w:vertAlign w:val="superscript"/>
          <w:lang w:val="en-US" w:eastAsia="zh-CN"/>
        </w:rPr>
        <w:t>2-4</w:t>
      </w:r>
      <w:r>
        <w:rPr>
          <w:rFonts w:hint="eastAsia"/>
          <w:highlight w:val="none"/>
        </w:rPr>
        <w:t>, while greater social-media and screen exposure has been linked particularly to depressive symptoms and sleep disturbance</w:t>
      </w:r>
      <w:r>
        <w:rPr>
          <w:rFonts w:hint="eastAsia" w:eastAsia="宋体"/>
          <w:highlight w:val="none"/>
          <w:vertAlign w:val="superscript"/>
          <w:lang w:val="en-US" w:eastAsia="zh-CN"/>
        </w:rPr>
        <w:t>5-9</w:t>
      </w:r>
      <w:r>
        <w:rPr>
          <w:rFonts w:hint="eastAsia"/>
          <w:highlight w:val="none"/>
        </w:rPr>
        <w:t>. These associations are clinically important, but they do not establish temporal order. Emotional distress may precede compensatory or avoidant digital engagement, whereas escalating digital use may displace sleep, physical activity or offline interaction. Longitudinal estimates</w:t>
      </w:r>
      <w:r>
        <w:rPr>
          <w:rFonts w:hint="eastAsia" w:eastAsia="宋体"/>
          <w:highlight w:val="none"/>
          <w:lang w:val="en-US" w:eastAsia="zh-CN"/>
        </w:rPr>
        <w:t xml:space="preserve"> </w:t>
      </w:r>
      <w:r>
        <w:rPr>
          <w:rFonts w:hint="eastAsia"/>
          <w:highlight w:val="none"/>
        </w:rPr>
        <w:t>are often small and vary across digital-use constructs, developmental periods and analytical specifications</w:t>
      </w:r>
      <w:r>
        <w:rPr>
          <w:rFonts w:hint="eastAsia" w:eastAsia="宋体"/>
          <w:highlight w:val="none"/>
          <w:vertAlign w:val="superscript"/>
          <w:lang w:val="en-US" w:eastAsia="zh-CN"/>
        </w:rPr>
        <w:t>10, 11</w:t>
      </w:r>
      <w:r>
        <w:rPr>
          <w:rFonts w:hint="eastAsia"/>
          <w:highlight w:val="none"/>
        </w:rPr>
        <w:t>. The central question is therefore not simply whether digital use and mental health are associated, but which domains drive subsequent change across the wider system.</w:t>
      </w:r>
    </w:p>
    <w:p w14:paraId="0D8CE3BF">
      <w:pPr>
        <w:rPr>
          <w:rFonts w:hint="eastAsia" w:eastAsia="宋体"/>
          <w:highlight w:val="none"/>
          <w:lang w:val="en-US" w:eastAsia="zh-CN"/>
        </w:rPr>
      </w:pPr>
      <w:r>
        <w:rPr>
          <w:rFonts w:hint="eastAsia"/>
          <w:highlight w:val="none"/>
        </w:rPr>
        <w:t>Network models provide a framework for examining this ordering without reducing multidomain comorbidity to a single total score</w:t>
      </w:r>
      <w:r>
        <w:rPr>
          <w:rFonts w:hint="eastAsia" w:eastAsia="宋体"/>
          <w:highlight w:val="none"/>
          <w:vertAlign w:val="superscript"/>
          <w:lang w:val="en-US" w:eastAsia="zh-CN"/>
        </w:rPr>
        <w:t>12-15</w:t>
      </w:r>
      <w:r>
        <w:rPr>
          <w:rFonts w:hint="eastAsia"/>
          <w:highlight w:val="none"/>
        </w:rPr>
        <w:t>. Rather than treating co-occurring difficulties as manifestations of a single underlying disorder, the network approach conceptualises symptoms and health domains as connected components of a wider system</w:t>
      </w:r>
      <w:r>
        <w:rPr>
          <w:rFonts w:hint="eastAsia" w:eastAsia="宋体"/>
          <w:highlight w:val="none"/>
          <w:vertAlign w:val="superscript"/>
          <w:lang w:val="en-US" w:eastAsia="zh-CN"/>
        </w:rPr>
        <w:t>16, 17</w:t>
      </w:r>
      <w:r>
        <w:rPr>
          <w:rFonts w:hint="eastAsia"/>
          <w:highlight w:val="none"/>
        </w:rPr>
        <w:t>. Cross-sectional Gaussian graphical models estimate conditional associations, while centrality measures identify highly connected nodes</w:t>
      </w:r>
      <w:r>
        <w:rPr>
          <w:rFonts w:hint="eastAsia" w:eastAsia="宋体"/>
          <w:highlight w:val="none"/>
          <w:vertAlign w:val="superscript"/>
          <w:lang w:val="en-US" w:eastAsia="zh-CN"/>
        </w:rPr>
        <w:t>18, 19</w:t>
      </w:r>
      <w:r>
        <w:rPr>
          <w:rFonts w:hint="eastAsia"/>
          <w:highlight w:val="none"/>
        </w:rPr>
        <w:t>. Connectedness alone, however, indicates neither structural leverage nor temporal priority. Structural-control methods address the static architecture of the system: minimum-dominating-set and module-control analyses identify nodes whose neighbourhoods cover the estimated network</w:t>
      </w:r>
      <w:r>
        <w:rPr>
          <w:rFonts w:hint="eastAsia" w:eastAsia="宋体"/>
          <w:highlight w:val="none"/>
          <w:vertAlign w:val="superscript"/>
          <w:lang w:val="en-US" w:eastAsia="zh-CN"/>
        </w:rPr>
        <w:t>20-22</w:t>
      </w:r>
      <w:r>
        <w:rPr>
          <w:rFonts w:hint="eastAsia"/>
          <w:highlight w:val="none"/>
        </w:rPr>
        <w:t>. These topological quantities may reveal structural leverage, but they do not establish causal effects or temporal precedence</w:t>
      </w:r>
      <w:r>
        <w:rPr>
          <w:rFonts w:hint="eastAsia" w:eastAsia="宋体"/>
          <w:highlight w:val="none"/>
          <w:vertAlign w:val="superscript"/>
          <w:lang w:val="en-US" w:eastAsia="zh-CN"/>
        </w:rPr>
        <w:t>23-25</w:t>
      </w:r>
      <w:r>
        <w:rPr>
          <w:rFonts w:hint="eastAsia"/>
          <w:highlight w:val="none"/>
        </w:rPr>
        <w:t>. Cross-lagged panel networks instead quantify prospective prediction among domains, allowing static structural position to be compared with longitudinal directionality</w:t>
      </w:r>
      <w:r>
        <w:rPr>
          <w:rFonts w:hint="eastAsia" w:eastAsia="宋体"/>
          <w:highlight w:val="none"/>
          <w:vertAlign w:val="superscript"/>
          <w:lang w:val="en-US" w:eastAsia="zh-CN"/>
        </w:rPr>
        <w:t>26</w:t>
      </w:r>
      <w:r>
        <w:rPr>
          <w:rFonts w:hint="eastAsia"/>
          <w:highlight w:val="none"/>
        </w:rPr>
        <w:t>.</w:t>
      </w:r>
      <w:r>
        <w:rPr>
          <w:rFonts w:hint="eastAsia" w:eastAsia="宋体"/>
          <w:highlight w:val="none"/>
          <w:lang w:val="en-US" w:eastAsia="zh-CN"/>
        </w:rPr>
        <w:t xml:space="preserve"> </w:t>
      </w:r>
    </w:p>
    <w:p w14:paraId="383F6AC7">
      <w:pPr>
        <w:rPr>
          <w:rFonts w:hint="eastAsia" w:eastAsia="宋体"/>
          <w:highlight w:val="none"/>
          <w:lang w:val="en-US" w:eastAsia="zh-CN"/>
        </w:rPr>
      </w:pPr>
      <w:r>
        <w:rPr>
          <w:rFonts w:hint="eastAsia" w:eastAsia="宋体"/>
          <w:highlight w:val="none"/>
          <w:lang w:val="en-US" w:eastAsia="zh-CN"/>
        </w:rPr>
        <w:t>Establishing which domains lead change over time has direct implications for how adolescent problematic digital use is understood and addressed. If problematic digital use precedes broader difficulties, digital behaviour should become a central target for prevention and intervention. If emotional distress leads instead, problematic digital use may be better understood as a downstream expression of a broader affective process, shifting the priority towards emotional difficulties rather than screen behaviour alone.</w:t>
      </w:r>
    </w:p>
    <w:p w14:paraId="70C6C8EF">
      <w:pPr>
        <w:rPr>
          <w:rFonts w:hint="eastAsia"/>
          <w:highlight w:val="none"/>
        </w:rPr>
      </w:pPr>
      <w:r>
        <w:rPr>
          <w:rFonts w:hint="eastAsia"/>
          <w:highlight w:val="none"/>
        </w:rPr>
        <w:t>Against this background, we first tested longitudinal ordering in the School-based Evaluation Advancing Response for Child Health (SEARCH) cohort in Jiangsu, China</w:t>
      </w:r>
      <w:r>
        <w:rPr>
          <w:rFonts w:hint="eastAsia" w:eastAsia="宋体"/>
          <w:highlight w:val="none"/>
          <w:vertAlign w:val="superscript"/>
          <w:lang w:val="en-US" w:eastAsia="zh-CN"/>
        </w:rPr>
        <w:t>27</w:t>
      </w:r>
      <w:r>
        <w:rPr>
          <w:rFonts w:hint="eastAsia"/>
          <w:highlight w:val="none"/>
        </w:rPr>
        <w:t>. We mapped cross-lagged relations among generalised problematic digital use, emotional distress, broad Strengths and Difficulties Questionnaire (SDQ) difficulties, diet, insomnia and physical activity in 6,092 adolescents reassessed approximately one year later. We then examined whether the screen-related ordering extended to the UK Millennium Cohort Study (MCS), where social-media use and gaming were measured directly between ages 14 and 17</w:t>
      </w:r>
      <w:r>
        <w:rPr>
          <w:rFonts w:hint="eastAsia" w:eastAsia="宋体"/>
          <w:highlight w:val="none"/>
          <w:vertAlign w:val="superscript"/>
          <w:lang w:val="en-US" w:eastAsia="zh-CN"/>
        </w:rPr>
        <w:t>28</w:t>
      </w:r>
      <w:r>
        <w:rPr>
          <w:rFonts w:hint="eastAsia"/>
          <w:highlight w:val="none"/>
        </w:rPr>
        <w:t>. Next, we characterised the 104-item baseline SEARCH network in 10,356 adolescents and compared its structural-control nodes with the longitudinal predictors. An exploratory Bayesian graph assessed whether a distinct modelling framework converged on the same directional architecture within SEARCH. Finally, a pooled multinational young-adult sample from the Global Mind Project</w:t>
      </w:r>
      <w:r>
        <w:rPr>
          <w:rFonts w:hint="eastAsia" w:eastAsia="宋体"/>
          <w:highlight w:val="none"/>
          <w:lang w:val="en-US" w:eastAsia="zh-CN"/>
        </w:rPr>
        <w:t xml:space="preserve"> (GMP)</w:t>
      </w:r>
      <w:r>
        <w:rPr>
          <w:rFonts w:hint="eastAsia" w:eastAsia="宋体"/>
          <w:highlight w:val="none"/>
          <w:vertAlign w:val="superscript"/>
          <w:lang w:val="en-US" w:eastAsia="zh-CN"/>
        </w:rPr>
        <w:t xml:space="preserve">29, 30 </w:t>
      </w:r>
      <w:r>
        <w:rPr>
          <w:rFonts w:hint="eastAsia"/>
          <w:highlight w:val="none"/>
        </w:rPr>
        <w:t>provided cross-sectional comparison of the relative network prominence of emotion and social-media use. Together, these analyses were designed to identify the principal temporal drivers of system-level change, test whether screen-related behaviours occupied a leading upstream position, and determine whether static structural control and longitudinal directionality identified the same parts of the symptom system.</w:t>
      </w:r>
    </w:p>
    <w:p w14:paraId="38758A5C">
      <w:pPr>
        <w:pStyle w:val="3"/>
        <w:keepNext/>
        <w:rPr>
          <w:highlight w:val="none"/>
        </w:rPr>
      </w:pPr>
      <w:r>
        <w:rPr>
          <w:highlight w:val="none"/>
        </w:rPr>
        <w:t>Results</w:t>
      </w:r>
    </w:p>
    <w:p w14:paraId="73A2C3A8">
      <w:pPr>
        <w:pStyle w:val="5"/>
        <w:keepNext/>
        <w:rPr>
          <w:highlight w:val="none"/>
        </w:rPr>
      </w:pPr>
      <w:r>
        <w:rPr>
          <w:highlight w:val="none"/>
        </w:rPr>
        <w:t>Emotional distress is the leading longitudinal source in SEARCH</w:t>
      </w:r>
    </w:p>
    <w:p w14:paraId="3C4A27C7">
      <w:pPr>
        <w:rPr>
          <w:rFonts w:hint="eastAsia"/>
          <w:highlight w:val="none"/>
        </w:rPr>
      </w:pPr>
      <w:r>
        <w:rPr>
          <w:rFonts w:hint="eastAsia"/>
          <w:highlight w:val="none"/>
        </w:rPr>
        <w:t>After data-quality screening, 10,356 adolescents from the School-based Evaluation Advancing Response for Child Health (SEARCH) cohort comprised the Wave 1 analytical sample. Of these, 6,092 were successfully linked to Wave 3, conducted approximately one year after Wave 1, and had complete data across all six longitudinal domains. For consistency across the text and figures, these domains are denoted throughout as CIAS (generalised problematic digital use), DASS (emotional distress), SDQ (broad difficulties), DIET (diet), ISI (insomnia) and ACT (physical activity).</w:t>
      </w:r>
      <w:r>
        <w:rPr>
          <w:rFonts w:hint="eastAsia" w:eastAsia="宋体"/>
          <w:highlight w:val="none"/>
          <w:lang w:val="en-US" w:eastAsia="zh-CN"/>
        </w:rPr>
        <w:t xml:space="preserve"> </w:t>
      </w:r>
      <w:r>
        <w:rPr>
          <w:rFonts w:hint="eastAsia"/>
          <w:highlight w:val="none"/>
        </w:rPr>
        <w:t>Compared with participants who could not be linked, the retained sample had lower baseline scores for CIAS (standardised mean difference, −0.35), DASS (−0.35), ISI (−0.31), DIET (−0.26) and SDQ (−0.18), and slightly higher physical activity (0.10; Supplementary Table S12). The longitudinal sample therefore had somewhat lower baseline symptom burden than the original cohort, which should be considered when interpreting the findings below.</w:t>
      </w:r>
    </w:p>
    <w:p w14:paraId="336CA784">
      <w:pPr>
        <w:rPr>
          <w:rFonts w:hint="eastAsia"/>
          <w:highlight w:val="none"/>
        </w:rPr>
      </w:pPr>
      <w:r>
        <w:rPr>
          <w:rFonts w:hint="eastAsia"/>
          <w:highlight w:val="none"/>
        </w:rPr>
        <w:t>Within this retained sample, emotional distress showed the largest positive net cross-lagged directionality (+0.249, 95% CI 0.086 to 0.418; Fig.</w:t>
      </w:r>
      <w:r>
        <w:rPr>
          <w:rFonts w:hint="eastAsia" w:eastAsia="宋体"/>
          <w:highlight w:val="none"/>
          <w:lang w:val="en-US" w:eastAsia="zh-CN"/>
        </w:rPr>
        <w:t xml:space="preserve"> </w:t>
      </w:r>
      <w:r>
        <w:rPr>
          <w:rFonts w:hint="eastAsia"/>
          <w:highlight w:val="none"/>
        </w:rPr>
        <w:t>1), representing the strongest balance of outgoing over incoming prospective prediction. Broad SDQ difficulties (−0.090, 95% CI −0.189 to −0.003) and physical activity (−0.145, 95% CI −0.218 to −0.060) were net sinks. By contrast, problematic digital use (CIAS; −0.061, 95% CI −0.161 to 0.051), diet (−0.014, 95% CI −0.137 to 0.108) and insomnia (+0.061, 95% CI −0.091 to 0.217) showed no significant net directionality because their confidence intervals included zero. At the domain level, the principal longitudinal signal therefore originated from emotional distress rather than problematic digital use.</w:t>
      </w:r>
    </w:p>
    <w:p w14:paraId="24883C49">
      <w:pPr>
        <w:rPr>
          <w:rFonts w:hint="eastAsia"/>
          <w:highlight w:val="none"/>
        </w:rPr>
      </w:pPr>
      <w:r>
        <w:rPr>
          <w:rFonts w:hint="eastAsia"/>
          <w:highlight w:val="none"/>
        </w:rPr>
        <w:t>Examination of the individual cross-domain paths reinforced this pattern. Emotional distress predicted later change in problematic digital use (DASS→CIAS, β=0.160), insomnia (DASS→ISI, β=0.151), broad SDQ difficulties (DASS→SDQ, β=0.120) and diet (DASS→DIET, β=0.108). The similarly strong reciprocal path from insomnia to emotional distress (ISI→DASS, β=0.150) indicated a feedback relationship between these two domains, although the broader outgoing pattern remained centred on emotional distress. This ranking remained unchanged in sensitivity analyses restricted to Bonferroni-significant cross-domain paths, adjusted for age, sex and grade, accounting for clustering within schools, and excluding diet (Supplementary Tables S11–S13). Taken together, emotional distress emerged as the principal temporal driver of change across the SEARCH symptom system, whereas problematic digital use did not occupy a significant upstream position.</w:t>
      </w:r>
    </w:p>
    <w:p w14:paraId="226C60A4">
      <w:pPr>
        <w:rPr>
          <w:b/>
          <w:highlight w:val="none"/>
        </w:rPr>
      </w:pPr>
      <w:r>
        <w:rPr>
          <w:rFonts w:hint="eastAsia" w:eastAsia="宋体"/>
          <w:highlight w:val="none"/>
          <w:lang w:eastAsia="zh-CN"/>
        </w:rPr>
        <w:drawing>
          <wp:inline distT="0" distB="0" distL="114300" distR="114300">
            <wp:extent cx="5684520" cy="3032760"/>
            <wp:effectExtent l="0" t="0" r="0" b="0"/>
            <wp:docPr id="1" name="图片 1" descr="Figur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igure_1"/>
                    <pic:cNvPicPr>
                      <a:picLocks noChangeAspect="1"/>
                    </pic:cNvPicPr>
                  </pic:nvPicPr>
                  <pic:blipFill>
                    <a:blip r:embed="rId8"/>
                    <a:stretch>
                      <a:fillRect/>
                    </a:stretch>
                  </pic:blipFill>
                  <pic:spPr>
                    <a:xfrm>
                      <a:off x="0" y="0"/>
                      <a:ext cx="5684520" cy="3032760"/>
                    </a:xfrm>
                    <a:prstGeom prst="rect">
                      <a:avLst/>
                    </a:prstGeom>
                  </pic:spPr>
                </pic:pic>
              </a:graphicData>
            </a:graphic>
          </wp:inline>
        </w:drawing>
      </w:r>
    </w:p>
    <w:p w14:paraId="066B0C7E">
      <w:pPr>
        <w:pStyle w:val="165"/>
        <w:keepLines/>
        <w:rPr>
          <w:highlight w:val="none"/>
        </w:rPr>
      </w:pPr>
      <w:r>
        <w:rPr>
          <w:b/>
          <w:highlight w:val="none"/>
        </w:rPr>
        <w:t xml:space="preserve">Figure 1 | </w:t>
      </w:r>
      <w:r>
        <w:rPr>
          <w:rFonts w:hint="eastAsia"/>
          <w:highlight w:val="none"/>
        </w:rPr>
        <w:t>Longitudinal cross-lagged network in SEARCH. (a) Standardised coefficients from each Wave-1 (baseline) domain (rows) to each Wave-3 (approximately one-year follow-up) domain (columns); diagonal entries are autoregressive effects, and asterisks denote Bonferroni-significant paths. (b) Directed network of significant cross-lagged effects. (c) Net temporal directionality, calculated as absolute cross-lagged out-strength minus in-strength, with 95% bootstrap confidence intervals. Positive values indicate greater outgoing than incoming prediction. CIAS, generalised problematic digital use; DASS, emotional distress; SDQ, broad SDQ difficulties; DIET, diet; ISI, insomnia; ACT, physical activity. N = 6,092.</w:t>
      </w:r>
    </w:p>
    <w:p w14:paraId="55005244">
      <w:pPr>
        <w:pStyle w:val="5"/>
        <w:keepNext/>
        <w:rPr>
          <w:highlight w:val="none"/>
        </w:rPr>
      </w:pPr>
      <w:r>
        <w:rPr>
          <w:highlight w:val="none"/>
        </w:rPr>
        <w:t>Social-media use and gaming are downstream in the UK cohort</w:t>
      </w:r>
    </w:p>
    <w:p w14:paraId="31C27F37">
      <w:pPr>
        <w:rPr>
          <w:rFonts w:hint="eastAsia"/>
          <w:highlight w:val="none"/>
        </w:rPr>
      </w:pPr>
      <w:r>
        <w:rPr>
          <w:rFonts w:hint="eastAsia"/>
          <w:highlight w:val="none"/>
        </w:rPr>
        <w:t>SEARCH placed emotional distress, rather than problematic digital use, at the head of subsequent system-level change. We therefore tested whether screen-related behaviours likewise remained outside the leading upstream position in the independent UK Millennium Cohort Study (MCS), which followed adolescents from age 14 to 17 and directly measured social-media use and electronic gaming. Among 9,520 cohort members linked across the two ages, 7,838 had complete data across all six domains and entered the longitudinal network. The resulting pattern placed screen-related behaviours firmly on the receiving side of the system: social-media use was the strongest net sink (−0.211, 95% CI −0.260 to −0.139), gaming was also downstream (−0.089, 95% CI −0.149 to −0.020), and peer problems formed a further sink (−0.080, 95% CI −0.161 to −0.004; Fig. 2).</w:t>
      </w:r>
    </w:p>
    <w:p w14:paraId="454C20B4">
      <w:pPr>
        <w:rPr>
          <w:rFonts w:hint="eastAsia"/>
          <w:highlight w:val="none"/>
        </w:rPr>
      </w:pPr>
      <w:r>
        <w:rPr>
          <w:rFonts w:hint="eastAsia"/>
          <w:highlight w:val="none"/>
        </w:rPr>
        <w:t>On the source side, hyperactivity/inattention was the leading temporal driver (+0.177, 95% CI 0.105 to 0.255), followed by self-reported internalising distress (+0.105, 95% CI 0.023 to 0.154) and conduct problems (+0.098, 95% CI 0.015 to 0.191). These broader difficulties drove the strongest paths into later screen-related behaviour: hyperactivity/inattention predicted gaming (β = 0.137) and social-media use (β = 0.112), while conduct problems predicted both social-media use (β = 0.080) and gaming (β = 0.060). The MCS findings therefore extended the SEARCH pattern rather than simply reproducing it. Emotional distress was the principal temporal driver in SEARCH; in MCS, the upstream position broadened to include both internalising and externalising difficulties, with hyperactivity/inattention leading. Across both cohorts, the core ordering was consistent: screen-related behaviours did not drive broader system-level change, remaining directionally neutral in SEARCH and moving downstream in MCS.</w:t>
      </w:r>
    </w:p>
    <w:p w14:paraId="0A08A6D1">
      <w:pPr>
        <w:rPr>
          <w:rFonts w:hint="eastAsia" w:eastAsia="宋体"/>
          <w:highlight w:val="none"/>
          <w:lang w:eastAsia="zh-CN"/>
        </w:rPr>
      </w:pPr>
      <w:r>
        <w:rPr>
          <w:rFonts w:hint="eastAsia" w:eastAsia="宋体"/>
          <w:highlight w:val="none"/>
          <w:lang w:eastAsia="zh-CN"/>
        </w:rPr>
        <w:drawing>
          <wp:inline distT="0" distB="0" distL="114300" distR="114300">
            <wp:extent cx="5970905" cy="2724785"/>
            <wp:effectExtent l="0" t="0" r="3175" b="3175"/>
            <wp:docPr id="2" name="图片 2" descr="D:/ALLpostgraduate/research/A/npj_MHR_submission_revised/npj_MHR_submission_revised/03_Figures/Main/PNG/Figure_2.pngFigur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D:/ALLpostgraduate/research/A/npj_MHR_submission_revised/npj_MHR_submission_revised/03_Figures/Main/PNG/Figure_2.pngFigure_2"/>
                    <pic:cNvPicPr>
                      <a:picLocks noChangeAspect="1"/>
                    </pic:cNvPicPr>
                  </pic:nvPicPr>
                  <pic:blipFill>
                    <a:blip r:embed="rId9"/>
                    <a:srcRect t="909" b="909"/>
                    <a:stretch>
                      <a:fillRect/>
                    </a:stretch>
                  </pic:blipFill>
                  <pic:spPr>
                    <a:xfrm>
                      <a:off x="0" y="0"/>
                      <a:ext cx="5970905" cy="2724785"/>
                    </a:xfrm>
                    <a:prstGeom prst="rect">
                      <a:avLst/>
                    </a:prstGeom>
                  </pic:spPr>
                </pic:pic>
              </a:graphicData>
            </a:graphic>
          </wp:inline>
        </w:drawing>
      </w:r>
    </w:p>
    <w:p w14:paraId="5DBC1FE4">
      <w:pPr>
        <w:pStyle w:val="165"/>
        <w:keepLines/>
        <w:rPr>
          <w:rFonts w:hint="eastAsia" w:eastAsia="宋体"/>
          <w:highlight w:val="none"/>
          <w:lang w:val="en-US" w:eastAsia="zh-CN"/>
        </w:rPr>
      </w:pPr>
      <w:r>
        <w:rPr>
          <w:rFonts w:hint="eastAsia"/>
          <w:b/>
          <w:bCs/>
          <w:highlight w:val="none"/>
        </w:rPr>
        <w:t>Figure 2</w:t>
      </w:r>
      <w:r>
        <w:rPr>
          <w:rFonts w:hint="eastAsia"/>
          <w:highlight w:val="none"/>
        </w:rPr>
        <w:t xml:space="preserve"> | Longitudinal directionality in the UK Millennium Cohort Study. (a) Net temporal directionality from age 14 to age 17, calculated as absolute cross-lagged out-strength minus in-strength, with 95% bootstrap confidence intervals. Positive values indicate a stronger balance of outgoing over incoming prediction. (b) Directed temporal network showing cross-lagged paths with |β| ≥ 0.05; this display threshold was used for visual clarity and does not denote statistical significance. Red and blue edges indicate positive and negative coefficients, respectively. (c) Cross-cohort comparison of temporal source and screen-related positions. SEARCH uses DASS-21 for emotional distress and CIAS-R for generalised problematic digital use; MCS uses self-reported internalising distress and direct measures of social-media use and gaming. The comparison concerns directional position across corresponding constructs rather than measurement equivalence. N = 9,520 linked across ages 14 and 17; n = 7,838 complete cases included in the cross-lagged analysis.</w:t>
      </w:r>
    </w:p>
    <w:p w14:paraId="7169CE88">
      <w:pPr>
        <w:pStyle w:val="5"/>
        <w:keepNext/>
        <w:rPr>
          <w:highlight w:val="none"/>
        </w:rPr>
      </w:pPr>
      <w:r>
        <w:rPr>
          <w:highlight w:val="none"/>
        </w:rPr>
        <w:t>Static structural control differs from temporal prediction</w:t>
      </w:r>
    </w:p>
    <w:p w14:paraId="65F380AE">
      <w:pPr>
        <w:rPr>
          <w:rFonts w:hint="eastAsia"/>
          <w:highlight w:val="none"/>
        </w:rPr>
      </w:pPr>
      <w:r>
        <w:rPr>
          <w:rFonts w:hint="eastAsia"/>
          <w:highlight w:val="none"/>
        </w:rPr>
        <w:t>The longitudinal analyses in SEARCH and MCS placed screen-related behaviours outside the leading upstream position. We therefore returned to the baseline SEARCH network to determine where structural leverage lay at the item level. The network contained 104 items connected by 2,777 non-zero edges (density = 0.518, modularity = 0.443, global efficiency = 0.759). Despite this dense interconnection, its structural coverage was concentrated in a remarkably compact set: ten equivalent minimum dominating sets were identified, each containing only three nodes capable of covering the remaining network through their immediate neighbourhoods. Across these solutions, the most recurrent control nodes were DIET22 (worry about eating too much; control frequency = 0.60), SDQ18 (often lies or cheats; 0.50) and DASS14 (intolerance of interruption; 0.40; Fig. 3). The leading control positions therefore arose from diet, behavioural and emotional symptoms, whereas no CIAS item ranked among the three highest-frequency control nodes. These structural-control nodes were not simply the most highly connected symptoms: control frequency correlated only weakly with node strength (Spearman ρ = 0.061) and loaded on a separate component from conventional centrality measures (Supplementary Fig. S15 and Table S10). Structural coverage and network connectedness therefore identified distinct symptom roles.</w:t>
      </w:r>
    </w:p>
    <w:p w14:paraId="6A88DDA7">
      <w:pPr>
        <w:rPr>
          <w:rFonts w:hint="eastAsia"/>
          <w:highlight w:val="none"/>
        </w:rPr>
      </w:pPr>
      <w:r>
        <w:rPr>
          <w:rFonts w:hint="eastAsia"/>
          <w:highlight w:val="none"/>
        </w:rPr>
        <w:t>Null-model analyses clarified that the distinctive finding lay in the identities of the control nodes rather than simply in the small size of the dominating set. A three-node minimum set was compatible with the network’s degree sequence and was not itself exceptional. DIET22, SDQ18 and DASS14 nevertheless entered the observed solutions more frequently than expected from their node-specific null domination frequencies of 0.186, 0.252 and 0.246, respectively (Supplementary Fig. S19). The exact solution remained sensitive to network estimation: sparser EBIC graphical-lasso networks produced minimum dominating sets containing five or six nodes and altered their membership rankings, whereas the primary cross-validated network retained the three-node solution (Supplementary Table S17 and Fig. S20).</w:t>
      </w:r>
    </w:p>
    <w:p w14:paraId="3C6D60BB">
      <w:pPr>
        <w:rPr>
          <w:rFonts w:hint="eastAsia"/>
          <w:highlight w:val="none"/>
        </w:rPr>
      </w:pPr>
      <w:r>
        <w:rPr>
          <w:rFonts w:hint="eastAsia"/>
          <w:highlight w:val="none"/>
        </w:rPr>
        <w:t>At the broader domain level, diet and broad SDQ difficulties occupied the strongest structural source-side positions, emotional distress and problematic digital use formed an intermediate layer, and physical activity and insomnia occupied the weakest positions. This static architecture did not reproduce the longitudinal hierarchy. Emotional distress held only an intermediate structural position but emerged as the leading temporal source, whereas problematic digital use remained intermediate in the static network and showed no significant net temporal directionality. Structural leverage and temporal driving therefore captured different dimensions of the symptom system.</w:t>
      </w:r>
    </w:p>
    <w:p w14:paraId="60D119E2">
      <w:pPr>
        <w:rPr>
          <w:rFonts w:hint="eastAsia"/>
          <w:highlight w:val="none"/>
        </w:rPr>
      </w:pPr>
      <w:r>
        <w:rPr>
          <w:rFonts w:hint="eastAsia"/>
          <w:highlight w:val="none"/>
        </w:rPr>
        <w:t>The broader six-domain architecture remained highly stable across complementary robustness checks. Six community-detection algorithms recovered the same domain organisation (adjusted Rand index, 0.61 to 0.73; normalised mutual information, 0.78 to 0.84), with the Leiden algorithm returning exactly six communities</w:t>
      </w:r>
      <w:r>
        <w:rPr>
          <w:rFonts w:hint="eastAsia" w:eastAsia="宋体"/>
          <w:highlight w:val="none"/>
          <w:vertAlign w:val="superscript"/>
          <w:lang w:val="en-US" w:eastAsia="zh-CN"/>
        </w:rPr>
        <w:t>31</w:t>
      </w:r>
      <w:r>
        <w:rPr>
          <w:rFonts w:hint="eastAsia"/>
          <w:highlight w:val="none"/>
        </w:rPr>
        <w:t>. Among the 89 items that could be compared across waves, community agreement remained high (adjusted Rand index = 0.86), with only eight items changing community. Bridge centrality and structural-control frequency also identified different nodes</w:t>
      </w:r>
      <w:r>
        <w:rPr>
          <w:rFonts w:hint="eastAsia" w:eastAsia="宋体"/>
          <w:highlight w:val="none"/>
          <w:vertAlign w:val="superscript"/>
          <w:lang w:val="en-US" w:eastAsia="zh-CN"/>
        </w:rPr>
        <w:t>32</w:t>
      </w:r>
      <w:r>
        <w:rPr>
          <w:rFonts w:hint="eastAsia"/>
          <w:highlight w:val="none"/>
        </w:rPr>
        <w:t>, reinforcing the distinction between symptoms that connect domains and those that govern coverage of the wider network. Together, these findings establish the six-domain architecture and its distinct structural-control dimension as reproducible features of the SEARCH symptom system, while localising estimator sensitivity to the membership of the specific minimum-dominating-set solution.</w:t>
      </w:r>
    </w:p>
    <w:p w14:paraId="3CA85840">
      <w:pPr>
        <w:jc w:val="center"/>
        <w:rPr>
          <w:rFonts w:hint="eastAsia" w:eastAsia="宋体"/>
          <w:highlight w:val="none"/>
          <w:lang w:eastAsia="zh-CN"/>
        </w:rPr>
      </w:pPr>
      <w:r>
        <w:rPr>
          <w:rFonts w:hint="eastAsia" w:eastAsia="宋体"/>
          <w:highlight w:val="none"/>
          <w:lang w:eastAsia="zh-CN"/>
        </w:rPr>
        <w:drawing>
          <wp:inline distT="0" distB="0" distL="114300" distR="114300">
            <wp:extent cx="5193665" cy="2371725"/>
            <wp:effectExtent l="0" t="0" r="3175" b="5715"/>
            <wp:docPr id="3" name="图片 3"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Figure_3"/>
                    <pic:cNvPicPr>
                      <a:picLocks noChangeAspect="1"/>
                    </pic:cNvPicPr>
                  </pic:nvPicPr>
                  <pic:blipFill>
                    <a:blip r:embed="rId10"/>
                    <a:stretch>
                      <a:fillRect/>
                    </a:stretch>
                  </pic:blipFill>
                  <pic:spPr>
                    <a:xfrm>
                      <a:off x="0" y="0"/>
                      <a:ext cx="5193665" cy="2371725"/>
                    </a:xfrm>
                    <a:prstGeom prst="rect">
                      <a:avLst/>
                    </a:prstGeom>
                  </pic:spPr>
                </pic:pic>
              </a:graphicData>
            </a:graphic>
          </wp:inline>
        </w:drawing>
      </w:r>
    </w:p>
    <w:p w14:paraId="780E4E90">
      <w:pPr>
        <w:pStyle w:val="165"/>
        <w:keepLines/>
        <w:rPr>
          <w:rFonts w:hint="eastAsia" w:eastAsia="宋体"/>
          <w:highlight w:val="none"/>
          <w:lang w:val="en-US" w:eastAsia="zh-CN"/>
        </w:rPr>
      </w:pPr>
      <w:r>
        <w:rPr>
          <w:b/>
          <w:highlight w:val="none"/>
        </w:rPr>
        <w:t xml:space="preserve">Figure 3 | </w:t>
      </w:r>
      <w:r>
        <w:rPr>
          <w:highlight w:val="none"/>
        </w:rPr>
        <w:t>Baseline structural network and structural-control profile in SEARCH. (a) Gaussian graphical model showing the 500 largest edges; node colour denotes domain, node size denotes strength and rings identify the three highest control-frequency nodes. (b) Node strength versus control frequency. (c) Average module control out-strength. Structural-control quantities describe graph topology and are not temporal or causal effects. N = 10,356.</w:t>
      </w:r>
      <w:r>
        <w:rPr>
          <w:rFonts w:hint="eastAsia" w:eastAsia="宋体"/>
          <w:highlight w:val="none"/>
          <w:lang w:val="en-US" w:eastAsia="zh-CN"/>
        </w:rPr>
        <w:t xml:space="preserve"> All analyses used the full estimated network.</w:t>
      </w:r>
    </w:p>
    <w:p w14:paraId="616069FF">
      <w:pPr>
        <w:pStyle w:val="5"/>
        <w:keepNext/>
        <w:rPr>
          <w:rFonts w:hint="default" w:eastAsia="宋体"/>
          <w:highlight w:val="none"/>
          <w:lang w:val="en-US" w:eastAsia="zh-CN"/>
        </w:rPr>
      </w:pPr>
      <w:r>
        <w:rPr>
          <w:rFonts w:hint="eastAsia"/>
          <w:highlight w:val="none"/>
        </w:rPr>
        <w:t>Bayesian directionality converges with the longitudinal ordering in SEAR</w:t>
      </w:r>
      <w:r>
        <w:rPr>
          <w:rFonts w:hint="eastAsia" w:eastAsia="宋体"/>
          <w:highlight w:val="none"/>
          <w:lang w:val="en-US" w:eastAsia="zh-CN"/>
        </w:rPr>
        <w:t>CH</w:t>
      </w:r>
    </w:p>
    <w:p w14:paraId="30441247">
      <w:pPr>
        <w:rPr>
          <w:rFonts w:hint="eastAsia"/>
          <w:highlight w:val="none"/>
        </w:rPr>
      </w:pPr>
      <w:r>
        <w:rPr>
          <w:rFonts w:hint="eastAsia"/>
          <w:highlight w:val="none"/>
        </w:rPr>
        <w:t>An exploratory Bayesian directed acyclic graph fitted to the six Wave 1 SEARCH domain scores converged on the DASS-outgoing ordering identified in the longitudinal analysis. DASS had the highest net out-degree (+2), with outgoing edges to SDQ, CIAS and DIET. By contrast, CIAS had balanced in- and out-degree, while DIET occupied the strongest receiving position, with the most negative net out-degree (−2; Fig. 4). The most stable directed edges were CIAS→ACT (bootstrap frequency = 0.970), DASS→SDQ (0.910), CIAS→DIET (0.905), DASS→DIET (0.855) and DASS→CIAS (0.850). Three of these five leading edges originated from DASS, reinforcing the source-side position of emotional distress.</w:t>
      </w:r>
    </w:p>
    <w:p w14:paraId="3A12BB99">
      <w:pPr>
        <w:rPr>
          <w:rFonts w:hint="eastAsia"/>
          <w:highlight w:val="none"/>
        </w:rPr>
      </w:pPr>
      <w:r>
        <w:rPr>
          <w:rFonts w:hint="eastAsia"/>
          <w:highlight w:val="none"/>
        </w:rPr>
        <w:t>Across the six domains, Bayesian net out-degree was positively correlated with longitudinal net directionality, although the estimate was imprecise (Pearson r = 0.750, two-sided P = 0.086; bootstrap 95% CI −0.604 to 0.995). DASS was on the source side in both models. All seven skeleton edges were reversible in the CPDAG (Supplementary Tables S15–S16). This analysis therefore provides within-sample descriptive agreement rather than independent evidence about causal direction.</w:t>
      </w:r>
    </w:p>
    <w:p w14:paraId="1BEFD434">
      <w:pPr>
        <w:rPr>
          <w:rFonts w:hint="eastAsia" w:eastAsia="宋体"/>
          <w:highlight w:val="none"/>
          <w:lang w:eastAsia="zh-CN"/>
        </w:rPr>
      </w:pPr>
      <w:r>
        <w:rPr>
          <w:rFonts w:hint="eastAsia" w:eastAsia="宋体"/>
          <w:highlight w:val="none"/>
          <w:lang w:eastAsia="zh-CN"/>
        </w:rPr>
        <w:drawing>
          <wp:inline distT="0" distB="0" distL="114300" distR="114300">
            <wp:extent cx="5972810" cy="2787650"/>
            <wp:effectExtent l="0" t="0" r="1270" b="1270"/>
            <wp:docPr id="4" name="图片 4" descr="D:/ALLpostgraduate/research/A/npj_MHR_submission_revised/npj_MHR_submission_revised/03_Figures/Main/PNG/Figure_4.pngFigure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D:/ALLpostgraduate/research/A/npj_MHR_submission_revised/npj_MHR_submission_revised/03_Figures/Main/PNG/Figure_4.pngFigure_4"/>
                    <pic:cNvPicPr>
                      <a:picLocks noChangeAspect="1"/>
                    </pic:cNvPicPr>
                  </pic:nvPicPr>
                  <pic:blipFill>
                    <a:blip r:embed="rId11"/>
                    <a:srcRect t="973" b="973"/>
                    <a:stretch>
                      <a:fillRect/>
                    </a:stretch>
                  </pic:blipFill>
                  <pic:spPr>
                    <a:xfrm>
                      <a:off x="0" y="0"/>
                      <a:ext cx="5972810" cy="2787650"/>
                    </a:xfrm>
                    <a:prstGeom prst="rect">
                      <a:avLst/>
                    </a:prstGeom>
                  </pic:spPr>
                </pic:pic>
              </a:graphicData>
            </a:graphic>
          </wp:inline>
        </w:drawing>
      </w:r>
    </w:p>
    <w:p w14:paraId="51685B71">
      <w:pPr>
        <w:pStyle w:val="165"/>
        <w:keepLines/>
        <w:rPr>
          <w:highlight w:val="none"/>
        </w:rPr>
      </w:pPr>
      <w:r>
        <w:rPr>
          <w:rFonts w:hint="eastAsia"/>
          <w:b/>
          <w:bCs/>
          <w:highlight w:val="none"/>
        </w:rPr>
        <w:t>Figure 4</w:t>
      </w:r>
      <w:r>
        <w:rPr>
          <w:rFonts w:hint="eastAsia"/>
          <w:highlight w:val="none"/>
        </w:rPr>
        <w:t xml:space="preserve"> | Bayesian directionality converges with the longitudinal ordering in SEARCH. (a) Exploratory Bayesian directed acyclic graph learned from tertile-discretised baseline domain scores; edge width denotes bootstrap stability. (b) Bootstrap frequencies of the eight most stable directed edges. (c) Alignment between Bayesian net out-degree and longitudinal cross-lagged panel network net directionality across the six domains. The Bayesian graph and longitudinal network use distinct model structures and partially overlapping SEARCH samples, providing within-SEARCH convergence across modelling frameworks rather than an independent replication. CIAS, generalised problematic digital use; DASS, emotional distress; SDQ, broad difficulties; DIET, diet; ISI, insomnia; ACT, physical activity; DAG, directed acyclic graph; CLPN, cross-lagged panel network. N = 10,356 for the baseline DAG; n = 6,092 for the longitudinal CLPN; panel c contains six paired domain-level estimates.</w:t>
      </w:r>
    </w:p>
    <w:p w14:paraId="5150652D">
      <w:pPr>
        <w:pStyle w:val="5"/>
        <w:keepNext/>
        <w:rPr>
          <w:highlight w:val="none"/>
        </w:rPr>
      </w:pPr>
      <w:r>
        <w:rPr>
          <w:highlight w:val="none"/>
        </w:rPr>
        <w:t>Emotion is the strongest hub in a pooled multinational sample</w:t>
      </w:r>
    </w:p>
    <w:p w14:paraId="714298D6">
      <w:pPr>
        <w:rPr>
          <w:rFonts w:hint="eastAsia" w:eastAsia="宋体"/>
          <w:highlight w:val="none"/>
          <w:lang w:val="en-US" w:eastAsia="zh-CN"/>
        </w:rPr>
      </w:pPr>
      <w:r>
        <w:rPr>
          <w:rFonts w:hint="eastAsia"/>
          <w:highlight w:val="none"/>
        </w:rPr>
        <w:t>Finally, we examined whether the emotional prominence identified in SEARCH recurred under a different measurement system and across a much broader population. The Global Mind Project (GMP) analysis included 147,506 participants aged 18–24 years with complete data across six mapped domains, drawn from a pooled sample spanning 240 countries. Emotion emerged as the dominant hub, with the highest undirected strength (0.726, 95% CI 0.714 to 0.738). It was followed by diet (0.504, 95% CI 0.493 to 0.515), activity (0.444, 95% CI 0.434 to 0.455), broad behavioural difficulties (0.409, 95% CI 0.396 to 0.424) and sleep (0.409, 95% CI 0.401 to 0.420). At the opposite end of the network, the social-media-frequency proxy had the lowest strength (0.075, 95% CI 0.065 to 0.085; Fig. 5), placing social-media frequency at the periphery of the mapped health system.</w:t>
      </w:r>
      <w:r>
        <w:rPr>
          <w:rFonts w:hint="eastAsia" w:eastAsia="宋体"/>
          <w:highlight w:val="none"/>
          <w:lang w:val="en-US" w:eastAsia="zh-CN"/>
        </w:rPr>
        <w:t xml:space="preserve"> For the construct-level comparison, a corresponding six-domain SEARCH network was derived from the baseline domain scores. After conventional undirected strength was normalised within each of these separate six-domain comparison networks, emotion ranked first in both SEARCH and GMP. In SEARCH, emotion was followed by generalised problematic digital use, insomnia, broad SDQ difficulties, diet and physical activity, whereas social-media frequency remained the weakest domain in GMP (Fig. 5b). This descriptive strength comparison was distinct from the item-level structural-control analysis reported above.</w:t>
      </w:r>
    </w:p>
    <w:p w14:paraId="7008060E">
      <w:pPr>
        <w:rPr>
          <w:rFonts w:hint="eastAsia"/>
          <w:highlight w:val="none"/>
        </w:rPr>
      </w:pPr>
      <w:r>
        <w:rPr>
          <w:rFonts w:hint="eastAsia"/>
          <w:highlight w:val="none"/>
        </w:rPr>
        <w:t>Although cross-sectional and based on social-media frequency rather than problematic-use symptoms, the GMP analysis provided cross-cultural, construct-level triangulation: emotion dominated the network under a distinct population and measurement framework, whereas social-media frequency remained peripheral. Together with the longitudinal findings from SEARCH and MCS, this multinational pattern reinforces an emotion-centred architecture in which screen-related behaviours form part of broader mental-health processes but do not occupy their principal organising position.</w:t>
      </w:r>
    </w:p>
    <w:p w14:paraId="6B2BABA3">
      <w:pPr>
        <w:rPr>
          <w:rFonts w:hint="eastAsia" w:eastAsia="宋体"/>
          <w:highlight w:val="none"/>
          <w:lang w:eastAsia="zh-CN"/>
        </w:rPr>
      </w:pPr>
      <w:r>
        <w:rPr>
          <w:rFonts w:hint="eastAsia" w:eastAsia="宋体"/>
          <w:highlight w:val="none"/>
          <w:lang w:eastAsia="zh-CN"/>
        </w:rPr>
        <w:drawing>
          <wp:inline distT="0" distB="0" distL="114300" distR="114300">
            <wp:extent cx="5762625" cy="3033395"/>
            <wp:effectExtent l="0" t="0" r="13335" b="14605"/>
            <wp:docPr id="6" name="图片 6" descr="Figure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_5"/>
                    <pic:cNvPicPr>
                      <a:picLocks noChangeAspect="1"/>
                    </pic:cNvPicPr>
                  </pic:nvPicPr>
                  <pic:blipFill>
                    <a:blip r:embed="rId12"/>
                    <a:stretch>
                      <a:fillRect/>
                    </a:stretch>
                  </pic:blipFill>
                  <pic:spPr>
                    <a:xfrm>
                      <a:off x="0" y="0"/>
                      <a:ext cx="5762625" cy="3033395"/>
                    </a:xfrm>
                    <a:prstGeom prst="rect">
                      <a:avLst/>
                    </a:prstGeom>
                  </pic:spPr>
                </pic:pic>
              </a:graphicData>
            </a:graphic>
          </wp:inline>
        </w:drawing>
      </w:r>
    </w:p>
    <w:p w14:paraId="47D1362E">
      <w:pPr>
        <w:pStyle w:val="165"/>
        <w:keepLines/>
        <w:rPr>
          <w:rFonts w:hint="eastAsia" w:eastAsia="宋体"/>
          <w:highlight w:val="none"/>
          <w:lang w:val="en-US" w:eastAsia="zh-CN"/>
        </w:rPr>
      </w:pPr>
      <w:r>
        <w:rPr>
          <w:b/>
          <w:highlight w:val="none"/>
        </w:rPr>
        <w:t xml:space="preserve">Figure 5 | </w:t>
      </w:r>
      <w:r>
        <w:rPr>
          <w:rFonts w:hint="eastAsia"/>
          <w:highlight w:val="none"/>
        </w:rPr>
        <w:t>Construct-level triangulation in the Global Mind Project. (a) Six-domain Gaussian graphical model in young adults; node size denotes domain strength. (b) Within-cohort normalised domain strength in the six-domain GMP network and a corresponding six-domain network derived from aggregated baseline SEARCH scores. Domain strengths were divided by the maximum strength within each cohort, so that the strongest domain was assigned a value of 1. Constructs were aligned for comparison, although the measures and network-estimation procedures were not identical across cohorts. (c) GMP domain strength with 95% bootstrap confidence intervals. The digital-use node in GMP represents social-media frequency rather than problematic-use symptoms. N = 147,506 participants aged 18–24 years from a pooled sample spanning 240 countries.</w:t>
      </w:r>
      <w:r>
        <w:rPr>
          <w:rFonts w:hint="eastAsia" w:eastAsia="宋体"/>
          <w:highlight w:val="none"/>
          <w:lang w:val="en-US" w:eastAsia="zh-CN"/>
        </w:rPr>
        <w:t xml:space="preserve"> BEH, broad behavioural difficulties; SM, social-media frequency.</w:t>
      </w:r>
    </w:p>
    <w:p w14:paraId="23B0B24A">
      <w:pPr>
        <w:pStyle w:val="3"/>
        <w:keepNext/>
        <w:rPr>
          <w:highlight w:val="none"/>
        </w:rPr>
      </w:pPr>
      <w:r>
        <w:rPr>
          <w:highlight w:val="none"/>
        </w:rPr>
        <w:t>Discussion</w:t>
      </w:r>
    </w:p>
    <w:p w14:paraId="6F422483">
      <w:pPr>
        <w:rPr>
          <w:rFonts w:hint="eastAsia"/>
          <w:highlight w:val="none"/>
        </w:rPr>
      </w:pPr>
      <w:r>
        <w:rPr>
          <w:rFonts w:hint="eastAsia"/>
          <w:highlight w:val="none"/>
        </w:rPr>
        <w:t>The longitudinal analyses placed broader emotional and behavioural difficulties, rather than screen-related behaviour, at the leading upstream position. In SEARCH, emotional distress had the largest net cross-lagged out-prediction and drove later change in generalised problematic digital use, insomnia, broad SDQ difficulties and diet; problematic digital use itself had no significant net directionality. In MCS, directly measured social-media use was the strongest sink and gaming was also downstream, while the upstream side included hyperactivity/inattention, internalising distress and conduct problems rather than emotional distress alone. Across cohorts, the shared pattern placed broader psychopathology upstream, although the identity of that upstream psychopathology differed. Problematic digital use, social-media use and gaming did not emerge as primary temporal sources when analysed within broader psychopathological systems.</w:t>
      </w:r>
    </w:p>
    <w:p w14:paraId="255EF970">
      <w:pPr>
        <w:rPr>
          <w:rFonts w:hint="eastAsia"/>
          <w:highlight w:val="none"/>
        </w:rPr>
      </w:pPr>
      <w:r>
        <w:rPr>
          <w:rFonts w:hint="eastAsia"/>
          <w:highlight w:val="none"/>
        </w:rPr>
        <w:t>This distinction changes how associations between digital use and mental health should be interpreted. Elevated problematic digital-use scores mark clinically relevant functional impairment and warrant assessment in their own right, but their network position identifies digital use as part of the accompanying symptom burden rather than its initiating force. In SEARCH, the most prominent outgoing domain was emotional distress; in MCS, externalising difficulties, especially hyperactivity/inattention, drove later screen-related behaviour. Clinical and preventive assessment should therefore prioritise the emotional, attentional and conduct context of escalating digital engagement rather than treating screen exposure as an isolated upstream cause. These observational estimates establish prospective ordering rather than intervention effects, defining relations that can be tested in intervention and intensive longitudinal designs</w:t>
      </w:r>
      <w:r>
        <w:rPr>
          <w:rFonts w:hint="eastAsia" w:eastAsia="宋体"/>
          <w:highlight w:val="none"/>
          <w:vertAlign w:val="superscript"/>
          <w:lang w:val="en-US" w:eastAsia="zh-CN"/>
        </w:rPr>
        <w:t>25, 33-35</w:t>
      </w:r>
      <w:r>
        <w:rPr>
          <w:rFonts w:hint="eastAsia"/>
          <w:highlight w:val="none"/>
        </w:rPr>
        <w:t>.</w:t>
      </w:r>
    </w:p>
    <w:p w14:paraId="2C95E49D">
      <w:pPr>
        <w:rPr>
          <w:rFonts w:hint="eastAsia"/>
          <w:highlight w:val="none"/>
        </w:rPr>
      </w:pPr>
      <w:r>
        <w:rPr>
          <w:rFonts w:hint="eastAsia"/>
          <w:highlight w:val="none"/>
        </w:rPr>
        <w:t>The comparison of static and temporal models provides a second contribution. Minimum-dominating-set analysis identified diet, SDQ and emotional items whose neighbourhoods covered the baseline graph, whereas cross-lagged analysis identified DASS as the leading domain-level prospective source. Control frequency was only weakly related to node strength, and module structural out-strength did not reproduce net temporal directionality. Graph topology and longitudinal prediction identified different dimensions of the symptom system. Structural-control nodes should consequently be interpreted as features of an estimated cross-sectional graph, not as causal intervention targets. Their value lies in describing sparse coverage and architecture; temporal or causal prioritisation requires longitudinal or experimental evidence</w:t>
      </w:r>
      <w:r>
        <w:rPr>
          <w:rFonts w:hint="eastAsia" w:eastAsia="宋体"/>
          <w:highlight w:val="none"/>
          <w:vertAlign w:val="superscript"/>
          <w:lang w:val="en-US" w:eastAsia="zh-CN"/>
        </w:rPr>
        <w:t>20-25</w:t>
      </w:r>
      <w:r>
        <w:rPr>
          <w:rFonts w:hint="eastAsia"/>
          <w:highlight w:val="none"/>
        </w:rPr>
        <w:t>. The exploratory Bayesian graph further reinforced the DASS-outgoing architecture, demonstrating convergence across distinct modelling frameworks within SEARCH.</w:t>
      </w:r>
    </w:p>
    <w:p w14:paraId="10D4668B">
      <w:pPr>
        <w:rPr>
          <w:rFonts w:hint="eastAsia"/>
          <w:highlight w:val="none"/>
        </w:rPr>
      </w:pPr>
      <w:r>
        <w:rPr>
          <w:rFonts w:hint="eastAsia"/>
          <w:highlight w:val="none"/>
        </w:rPr>
        <w:t>The external analyses sharpen the construct boundary. SEARCH assessed generalised problematic internet and digital-media use through the CIAS-R, whereas MCS measured hours of social-media use and gaming, and the Global Mind Project used social-media frequency. These measures test convergence across related digital-use constructs rather than instrument-level replication. The MCS variables provided the longitudinal exposure-based test: both social-media use and gaming were sinks. The Global Mind Project provided cross-cultural, construct-level triangulation: emotion was the dominant hub across a broad multinational sample, whereas social-media frequency was weakly embedded in the wider health network. Taken together, the findings distinguish impairment-oriented problematic use from exposure-oriented frequency and consistently place screen-related measures outside a dominant upstream or organising position.</w:t>
      </w:r>
    </w:p>
    <w:p w14:paraId="73068F2D">
      <w:pPr>
        <w:rPr>
          <w:rFonts w:hint="eastAsia"/>
          <w:highlight w:val="none"/>
        </w:rPr>
      </w:pPr>
      <w:r>
        <w:rPr>
          <w:rFonts w:hint="eastAsia"/>
          <w:highlight w:val="none"/>
        </w:rPr>
        <w:t>Several properties of the data define the scope of inference. The SEARCH model used two waves and estimated between-person lagged prediction; it therefore cannot separate stable person differences from within-person dynamics</w:t>
      </w:r>
      <w:r>
        <w:rPr>
          <w:rFonts w:hint="eastAsia" w:eastAsia="宋体"/>
          <w:highlight w:val="none"/>
          <w:vertAlign w:val="superscript"/>
          <w:lang w:val="en-US" w:eastAsia="zh-CN"/>
        </w:rPr>
        <w:t xml:space="preserve">36, </w:t>
      </w:r>
      <w:bookmarkStart w:id="0" w:name="_GoBack"/>
      <w:r>
        <w:rPr>
          <w:rFonts w:hint="eastAsia" w:eastAsia="宋体"/>
          <w:highlight w:val="none"/>
          <w:vertAlign w:val="superscript"/>
          <w:lang w:val="en-US" w:eastAsia="zh-CN"/>
        </w:rPr>
        <w:t>37</w:t>
      </w:r>
      <w:bookmarkEnd w:id="0"/>
      <w:r>
        <w:rPr>
          <w:rFonts w:hint="eastAsia"/>
          <w:highlight w:val="none"/>
        </w:rPr>
        <w:t>. Linkage retained 6,092 of 10,356 baseline participants, and the retained sample had lower baseline symptom burden, which may attenuate or alter longitudinal estimates. The longitudinal estimates therefore apply to the linked sample. The broad SDQ domain included emotional, conduct, hyperactivity, peer and reverse-scored prosocial items; DASS→SDQ paths therefore represent prediction of broad difficulties rather than conduct-specific change and partly span overlapping affective content. Diet response options changed between waves; wave-standardised domain scores and a five-domain sensitivity analysis addressed this change. MCS used different internalising instruments at ages 14 and 17, precluding scale-level invariance testing. Finally, the pooled Global Mind Project analysis does not estimate country-specific networks and remains cross-sectional.</w:t>
      </w:r>
    </w:p>
    <w:p w14:paraId="79508C0A">
      <w:pPr>
        <w:rPr>
          <w:highlight w:val="none"/>
        </w:rPr>
      </w:pPr>
      <w:r>
        <w:rPr>
          <w:rFonts w:hint="eastAsia"/>
          <w:highlight w:val="none"/>
        </w:rPr>
        <w:t>The evidence supports a directional reframing of adolescent digital-use research. Screen-related measures occupied neutral or downstream positions within broader psychopathological dynamics rather than leading prospective change. Emotional distress was the principal source in SEARCH, while internalising and externalising difficulties jointly occupied the source side in MCS. Static network control identified a different set of topological features. Distinguishing these levels of analysis yields a more precise account of when digital behaviour is a marker, a downstream expression or a structural component of adolescent mental-health systems.</w:t>
      </w:r>
    </w:p>
    <w:p w14:paraId="39573C8D">
      <w:pPr>
        <w:pStyle w:val="3"/>
        <w:keepNext/>
        <w:rPr>
          <w:highlight w:val="none"/>
        </w:rPr>
      </w:pPr>
      <w:r>
        <w:rPr>
          <w:highlight w:val="none"/>
        </w:rPr>
        <w:t>Methods</w:t>
      </w:r>
    </w:p>
    <w:p w14:paraId="22847992">
      <w:pPr>
        <w:pStyle w:val="5"/>
        <w:keepNext/>
        <w:rPr>
          <w:highlight w:val="none"/>
        </w:rPr>
      </w:pPr>
      <w:r>
        <w:rPr>
          <w:highlight w:val="none"/>
        </w:rPr>
        <w:t>Participants and study design</w:t>
      </w:r>
    </w:p>
    <w:p w14:paraId="5A2D41A8">
      <w:pPr>
        <w:rPr>
          <w:highlight w:val="none"/>
        </w:rPr>
      </w:pPr>
      <w:r>
        <w:rPr>
          <w:highlight w:val="none"/>
        </w:rPr>
        <w:t>Data came from the School-based Evaluation Advancing Response for Child Health (SEARCH), a mixed longitudinal school-based cohort conducted across 11 schools in three cities of Jiangsu Province, China</w:t>
      </w:r>
      <w:r>
        <w:rPr>
          <w:rFonts w:hint="eastAsia" w:eastAsia="宋体"/>
          <w:highlight w:val="none"/>
          <w:vertAlign w:val="superscript"/>
          <w:lang w:val="en-US" w:eastAsia="zh-CN"/>
        </w:rPr>
        <w:t>27</w:t>
      </w:r>
      <w:r>
        <w:rPr>
          <w:highlight w:val="none"/>
        </w:rPr>
        <w:t>. The baseline wave</w:t>
      </w:r>
      <w:r>
        <w:rPr>
          <w:rFonts w:hint="eastAsia" w:eastAsia="宋体"/>
          <w:highlight w:val="none"/>
          <w:lang w:val="en-US" w:eastAsia="zh-CN"/>
        </w:rPr>
        <w:t xml:space="preserve"> (Wave 1)</w:t>
      </w:r>
      <w:r>
        <w:rPr>
          <w:highlight w:val="none"/>
        </w:rPr>
        <w:t xml:space="preserve"> was collected from September 2022 to February 2023. Of 11,640 unique records in the analytic export, 1,284 (11.0%) were excluded because either the participant-level median item-response time or the within-participant standard deviation across the 104 analysed </w:t>
      </w:r>
      <w:r>
        <w:rPr>
          <w:rFonts w:hint="eastAsia"/>
          <w:highlight w:val="none"/>
        </w:rPr>
        <w:t>item scores</w:t>
      </w:r>
      <w:r>
        <w:rPr>
          <w:highlight w:val="none"/>
        </w:rPr>
        <w:t xml:space="preserve"> fell outside sample-derived 1.5 x interquartile-range bounds. The baseline sample comprised 10,356 adolescents (52.2% male; mean age 13.96 years, SD 2.42). </w:t>
      </w:r>
      <w:r>
        <w:rPr>
          <w:rFonts w:hint="eastAsia"/>
          <w:highlight w:val="none"/>
        </w:rPr>
        <w:t>The follow-up wave used in the longitudinal analysis (Wave 3) was exported in April 2024, approximately one year after baseline.</w:t>
      </w:r>
      <w:r>
        <w:rPr>
          <w:highlight w:val="none"/>
        </w:rPr>
        <w:t xml:space="preserve"> The study was approved by the Ethics Committee of the Affiliated Brain Hospital of Nanjing Medical University (approval 2022-KY095-02), was conducted in accordance with the Declaration of Helsinki, and obtained written informed consent from participating adolescents and their legal guardians.</w:t>
      </w:r>
    </w:p>
    <w:p w14:paraId="6D3ECAE2">
      <w:pPr>
        <w:pStyle w:val="5"/>
        <w:keepNext/>
        <w:rPr>
          <w:highlight w:val="none"/>
        </w:rPr>
      </w:pPr>
      <w:r>
        <w:rPr>
          <w:highlight w:val="none"/>
        </w:rPr>
        <w:t>SEARCH measures</w:t>
      </w:r>
    </w:p>
    <w:p w14:paraId="6EB7971B">
      <w:pPr>
        <w:rPr>
          <w:highlight w:val="none"/>
        </w:rPr>
      </w:pPr>
      <w:r>
        <w:rPr>
          <w:rFonts w:hint="eastAsia"/>
          <w:highlight w:val="none"/>
        </w:rPr>
        <w:t>We assessed six domains with 113 items. Problematic digital use was measured with the 26-item Chen Internet Addiction Scale-Revised (CIAS-R; response range 1–4), which assesses impairment across internet and digital-media use rather than smartphone-specific behaviour</w:t>
      </w:r>
      <w:r>
        <w:rPr>
          <w:rFonts w:hint="eastAsia"/>
          <w:highlight w:val="none"/>
          <w:vertAlign w:val="superscript"/>
        </w:rPr>
        <w:t>38</w:t>
      </w:r>
      <w:r>
        <w:rPr>
          <w:rFonts w:hint="eastAsia"/>
          <w:highlight w:val="none"/>
        </w:rPr>
        <w:t>. Emotional distress was measured with the 21-item Depression Anxiety Stress Scales (DASS-21; range 0–3)</w:t>
      </w:r>
      <w:r>
        <w:rPr>
          <w:rFonts w:hint="eastAsia"/>
          <w:highlight w:val="none"/>
          <w:vertAlign w:val="superscript"/>
        </w:rPr>
        <w:t>39</w:t>
      </w:r>
      <w:r>
        <w:rPr>
          <w:rFonts w:hint="eastAsia"/>
          <w:highlight w:val="none"/>
        </w:rPr>
        <w:t>. Broad difficulties were assessed with the 25 core SDQ items; six impact-supplement items were recorded separately</w:t>
      </w:r>
      <w:r>
        <w:rPr>
          <w:rFonts w:hint="eastAsia"/>
          <w:highlight w:val="none"/>
          <w:vertAlign w:val="superscript"/>
        </w:rPr>
        <w:t>40</w:t>
      </w:r>
      <w:r>
        <w:rPr>
          <w:rFonts w:hint="eastAsia"/>
          <w:highlight w:val="none"/>
        </w:rPr>
        <w:t>. Insomnia was measured with the seven-item Insomnia Severity Index (ISI; range 0–4)</w:t>
      </w:r>
      <w:r>
        <w:rPr>
          <w:rFonts w:hint="eastAsia"/>
          <w:highlight w:val="none"/>
          <w:vertAlign w:val="superscript"/>
        </w:rPr>
        <w:t>41</w:t>
      </w:r>
      <w:r>
        <w:rPr>
          <w:rFonts w:hint="eastAsia"/>
          <w:highlight w:val="none"/>
        </w:rPr>
        <w:t>. Diet was assessed using nine cohort-specific dietary-behaviour items and 13 items from the Chinese modified Yale Food Addiction Scale 2.0</w:t>
      </w:r>
      <w:r>
        <w:rPr>
          <w:rFonts w:hint="eastAsia"/>
          <w:highlight w:val="none"/>
          <w:vertAlign w:val="superscript"/>
        </w:rPr>
        <w:t>42, 43</w:t>
      </w:r>
      <w:r>
        <w:rPr>
          <w:rFonts w:hint="eastAsia"/>
          <w:highlight w:val="none"/>
        </w:rPr>
        <w:t>. Physical activity was assessed with six items; items 1–4 were adapted from the International Physical Activity Questionnaire-Short Form</w:t>
      </w:r>
      <w:r>
        <w:rPr>
          <w:rFonts w:hint="eastAsia"/>
          <w:highlight w:val="none"/>
          <w:vertAlign w:val="superscript"/>
        </w:rPr>
        <w:t>44, 45</w:t>
      </w:r>
      <w:r>
        <w:rPr>
          <w:rFonts w:hint="eastAsia"/>
          <w:highlight w:val="none"/>
        </w:rPr>
        <w:t>, and items 5–6 assessed recreational screen time. The exclusions used to construct the 104-item network are described below.</w:t>
      </w:r>
    </w:p>
    <w:p w14:paraId="3D9D53E8">
      <w:pPr>
        <w:rPr>
          <w:rFonts w:hint="eastAsia" w:eastAsia="宋体"/>
          <w:highlight w:val="none"/>
          <w:lang w:val="en-US" w:eastAsia="zh-CN"/>
        </w:rPr>
      </w:pPr>
      <w:r>
        <w:rPr>
          <w:highlight w:val="none"/>
        </w:rPr>
        <w:t>Nine items were excluded before item-level network estimation. The six SDQ impact-supplement items (items 26-31) were excluded because they assess duration, distress and functional impact of overall difficulties rather than individual symptoms. DIET item 3 was a multiple-response item and was not comparable with scalar items. ACT items 5 and 6 measured recreational screen time rather than physical activity. The final baseline network therefore contained 104 items: 26 CIAS-R, 21 DASS-21, 25 SDQ, 7 ISI, 21 DIET and 4 ACT items. SDQ items 7, 11, 14, 21 and 25 were reverse-scored so that higher values indicated greater difficulty. Because all 25 core SDQ items were retained, including emotional and reverse-scored prosocial content, this domain is described as broad SDQ difficulties rather than as a conduct-specific scale.</w:t>
      </w:r>
      <w:r>
        <w:rPr>
          <w:rFonts w:hint="eastAsia" w:eastAsia="宋体"/>
          <w:highlight w:val="none"/>
          <w:lang w:val="en-US" w:eastAsia="zh-CN"/>
        </w:rPr>
        <w:t xml:space="preserve"> The CIAS-R, DASS-21, SDQ and ISI have established psychometric properties.</w:t>
      </w:r>
    </w:p>
    <w:p w14:paraId="1D57A5FF">
      <w:pPr>
        <w:pStyle w:val="5"/>
        <w:keepNext/>
        <w:rPr>
          <w:highlight w:val="none"/>
        </w:rPr>
      </w:pPr>
      <w:r>
        <w:rPr>
          <w:highlight w:val="none"/>
        </w:rPr>
        <w:t>SEARCH longitudinal linkage and domain scores</w:t>
      </w:r>
    </w:p>
    <w:p w14:paraId="00891CEC">
      <w:pPr>
        <w:rPr>
          <w:highlight w:val="none"/>
        </w:rPr>
      </w:pPr>
      <w:r>
        <w:rPr>
          <w:highlight w:val="none"/>
        </w:rPr>
        <w:t>The two SEARCH waves used independent record identifiers. Participants were linked deterministically using a SHA-1 digest of name, date of birth and recorded sex, truncated to 16 hexadecimal characters. Composite keys that were non-unique within a wave were excluded before linkage; three within-wave duplicate records in baseline and one at follow-up were removed. This procedure produced 6,092 participants with complete six-domain data at both waves. Non-unique baseline linkage keys involved 0.052% of candidate records.</w:t>
      </w:r>
    </w:p>
    <w:p w14:paraId="4D2AE083">
      <w:pPr>
        <w:rPr>
          <w:highlight w:val="none"/>
        </w:rPr>
      </w:pPr>
      <w:r>
        <w:rPr>
          <w:highlight w:val="none"/>
        </w:rPr>
        <w:t>Diet items 10-22 changed from binary response options at baseline to an eight-point scale at follow-up. The primary longitudinal analysis therefore used six domain scores rather than item-level diet comparisons. Each domain score was z-standardised within wave. Cross-wave correlations were 0.58 for CIAS-R, 0.63 for DASS, 0.43 for SDQ, 0.34 for diet, 0.57 for ISI and 0.31 for physical activity. Baseline differences between linked and unlinked participants were quantified with standardised mean differences.</w:t>
      </w:r>
    </w:p>
    <w:p w14:paraId="3CE10C74">
      <w:pPr>
        <w:pStyle w:val="5"/>
        <w:keepNext/>
        <w:rPr>
          <w:highlight w:val="none"/>
        </w:rPr>
      </w:pPr>
      <w:r>
        <w:rPr>
          <w:highlight w:val="none"/>
        </w:rPr>
        <w:t>SEARCH cross-lagged panel network</w:t>
      </w:r>
    </w:p>
    <w:p w14:paraId="338CE30C">
      <w:pPr>
        <w:rPr>
          <w:highlight w:val="none"/>
        </w:rPr>
      </w:pPr>
      <w:r>
        <w:rPr>
          <w:highlight w:val="none"/>
        </w:rPr>
        <w:t>For each follow-up domain, we fitted an ordinary least-squares regression containing all six baseline domain scores, including the corresponding autoregressive predictor. Coefficients were standardised and HC3 heteroskedasticity-robust standard errors were used. The 30 cross-domain paths were evaluated with a Bonferroni-adjusted alpha of 0.05/30 = 0.0017</w:t>
      </w:r>
      <w:r>
        <w:rPr>
          <w:highlight w:val="none"/>
          <w:vertAlign w:val="superscript"/>
        </w:rPr>
        <w:t>26,</w:t>
      </w:r>
      <w:r>
        <w:rPr>
          <w:rFonts w:hint="eastAsia" w:eastAsia="宋体"/>
          <w:highlight w:val="none"/>
          <w:vertAlign w:val="superscript"/>
          <w:lang w:val="en-US" w:eastAsia="zh-CN"/>
        </w:rPr>
        <w:t xml:space="preserve"> 36</w:t>
      </w:r>
      <w:r>
        <w:rPr>
          <w:highlight w:val="none"/>
        </w:rPr>
        <w:t>. Net temporal directionality was calculated for each domain as the sum of absolute cross-lagged outgoing coefficients minus the sum of absolute incoming coefficients; autoregressive coefficients were excluded. Percentile 95% confidence intervals were estimated with 1,000 nonparametric bootstrap resamples.</w:t>
      </w:r>
    </w:p>
    <w:p w14:paraId="23C2745F">
      <w:pPr>
        <w:rPr>
          <w:highlight w:val="none"/>
        </w:rPr>
      </w:pPr>
      <w:r>
        <w:rPr>
          <w:highlight w:val="none"/>
        </w:rPr>
        <w:t>Sensitivity analyses recalculated directionality using only Bonferroni-significant paths, adjusted the regressions for age, sex and grade, used school-cluster-robust inference, and fitted a five-domain model excluding diet. These analyses tested robustness of the directionality ranking and sign under alternative specifications.</w:t>
      </w:r>
    </w:p>
    <w:p w14:paraId="1A2B487E">
      <w:pPr>
        <w:pStyle w:val="5"/>
        <w:keepNext/>
        <w:rPr>
          <w:highlight w:val="none"/>
        </w:rPr>
      </w:pPr>
      <w:r>
        <w:rPr>
          <w:highlight w:val="none"/>
        </w:rPr>
        <w:t>Millennium Cohort Study longitudinal analysis</w:t>
      </w:r>
    </w:p>
    <w:p w14:paraId="4D32EF2D">
      <w:pPr>
        <w:rPr>
          <w:highlight w:val="none"/>
        </w:rPr>
      </w:pPr>
      <w:r>
        <w:rPr>
          <w:highlight w:val="none"/>
        </w:rPr>
        <w:t>The UK Millennium Cohort Study (MCS) was used for an external longitudinal analysis</w:t>
      </w:r>
      <w:r>
        <w:rPr>
          <w:highlight w:val="none"/>
          <w:vertAlign w:val="superscript"/>
        </w:rPr>
        <w:t>2</w:t>
      </w:r>
      <w:r>
        <w:rPr>
          <w:rFonts w:hint="eastAsia" w:eastAsia="宋体"/>
          <w:highlight w:val="none"/>
          <w:vertAlign w:val="superscript"/>
          <w:lang w:val="en-US" w:eastAsia="zh-CN"/>
        </w:rPr>
        <w:t>8</w:t>
      </w:r>
      <w:r>
        <w:rPr>
          <w:highlight w:val="none"/>
        </w:rPr>
        <w:t>. Sweep 6 at age 14 (N = 11,852)</w:t>
      </w:r>
      <w:r>
        <w:rPr>
          <w:highlight w:val="none"/>
          <w:vertAlign w:val="superscript"/>
        </w:rPr>
        <w:t>4</w:t>
      </w:r>
      <w:r>
        <w:rPr>
          <w:rFonts w:hint="eastAsia" w:eastAsia="宋体"/>
          <w:highlight w:val="none"/>
          <w:vertAlign w:val="superscript"/>
          <w:lang w:val="en-US" w:eastAsia="zh-CN"/>
        </w:rPr>
        <w:t>6</w:t>
      </w:r>
      <w:r>
        <w:rPr>
          <w:highlight w:val="none"/>
        </w:rPr>
        <w:t xml:space="preserve"> and Sweep 7 at age 17 (N = 10,343)</w:t>
      </w:r>
      <w:r>
        <w:rPr>
          <w:highlight w:val="none"/>
          <w:vertAlign w:val="superscript"/>
        </w:rPr>
        <w:t>4</w:t>
      </w:r>
      <w:r>
        <w:rPr>
          <w:rFonts w:hint="eastAsia" w:eastAsia="宋体"/>
          <w:highlight w:val="none"/>
          <w:vertAlign w:val="superscript"/>
          <w:lang w:val="en-US" w:eastAsia="zh-CN"/>
        </w:rPr>
        <w:t>7</w:t>
      </w:r>
      <w:r>
        <w:rPr>
          <w:highlight w:val="none"/>
        </w:rPr>
        <w:t xml:space="preserve"> were obtained under licence from the UK Data Service. De-identified family and cohort-member identifiers linked 9,520 adolescents across sweeps. Six nodes were available at both ages: self-reported </w:t>
      </w:r>
      <w:r>
        <w:rPr>
          <w:rFonts w:hint="eastAsia" w:eastAsia="宋体"/>
          <w:highlight w:val="none"/>
          <w:lang w:eastAsia="zh-CN"/>
        </w:rPr>
        <w:t>internalising</w:t>
      </w:r>
      <w:r>
        <w:rPr>
          <w:highlight w:val="none"/>
        </w:rPr>
        <w:t xml:space="preserve"> distress, assessed with the 13-item Short Mood and Feelings Questionnaire at age 14</w:t>
      </w:r>
      <w:r>
        <w:rPr>
          <w:rFonts w:hint="eastAsia" w:eastAsia="宋体"/>
          <w:highlight w:val="none"/>
          <w:vertAlign w:val="superscript"/>
          <w:lang w:val="en-US" w:eastAsia="zh-CN"/>
        </w:rPr>
        <w:t>48</w:t>
      </w:r>
      <w:r>
        <w:rPr>
          <w:highlight w:val="none"/>
        </w:rPr>
        <w:t xml:space="preserve"> and the Kessler K6 at age 17</w:t>
      </w:r>
      <w:r>
        <w:rPr>
          <w:rFonts w:hint="eastAsia" w:eastAsia="宋体"/>
          <w:highlight w:val="none"/>
          <w:vertAlign w:val="superscript"/>
          <w:lang w:val="en-US" w:eastAsia="zh-CN"/>
        </w:rPr>
        <w:t>49</w:t>
      </w:r>
      <w:r>
        <w:rPr>
          <w:highlight w:val="none"/>
        </w:rPr>
        <w:t>; SDQ conduct, hyperactivity/inattention and peer-problem subscales; self-reported hours of social-media use; and self-reported hours of electronic gaming. Scores were z-standardised within wave.</w:t>
      </w:r>
    </w:p>
    <w:p w14:paraId="54C8B8D2">
      <w:pPr>
        <w:rPr>
          <w:highlight w:val="none"/>
        </w:rPr>
      </w:pPr>
      <w:r>
        <w:rPr>
          <w:highlight w:val="none"/>
        </w:rPr>
        <w:t xml:space="preserve">The MCS cross-lagged model used the same regression and directionality definitions as SEARCH, with 500 nonparametric bootstrap resamples. The complete-case analysis included 7,838 participants. MCS does not contain the CIAS-R or a directly comparable diet measure; it therefore tests the temporal position of </w:t>
      </w:r>
      <w:r>
        <w:rPr>
          <w:rFonts w:hint="eastAsia" w:eastAsia="宋体"/>
          <w:highlight w:val="none"/>
          <w:lang w:eastAsia="zh-CN"/>
        </w:rPr>
        <w:t>internalising</w:t>
      </w:r>
      <w:r>
        <w:rPr>
          <w:highlight w:val="none"/>
        </w:rPr>
        <w:t xml:space="preserve"> distress and direct screen-related exposure rather than replicating the complete SEARCH measurement system. The </w:t>
      </w:r>
      <w:r>
        <w:rPr>
          <w:rFonts w:hint="eastAsia" w:eastAsia="宋体"/>
          <w:highlight w:val="none"/>
          <w:lang w:eastAsia="zh-CN"/>
        </w:rPr>
        <w:t>internalising</w:t>
      </w:r>
      <w:r>
        <w:rPr>
          <w:highlight w:val="none"/>
        </w:rPr>
        <w:t xml:space="preserve"> instruments also differed by sweep, so the analysis is interpreted at the construct level.</w:t>
      </w:r>
    </w:p>
    <w:p w14:paraId="76731980">
      <w:pPr>
        <w:pStyle w:val="5"/>
        <w:keepNext/>
        <w:rPr>
          <w:highlight w:val="none"/>
        </w:rPr>
      </w:pPr>
      <w:r>
        <w:rPr>
          <w:highlight w:val="none"/>
        </w:rPr>
        <w:t>Baseline SEARCH network reconstruction</w:t>
      </w:r>
    </w:p>
    <w:p w14:paraId="7A25CE10">
      <w:pPr>
        <w:rPr>
          <w:highlight w:val="none"/>
        </w:rPr>
      </w:pPr>
      <w:r>
        <w:rPr>
          <w:highlight w:val="none"/>
        </w:rPr>
        <w:t>Item responses were transformed to normal marginals with a nonparanormal Gaussian-copula transformation. A Gaussian graphical model was estimated with graphical Lasso</w:t>
      </w:r>
      <w:r>
        <w:rPr>
          <w:highlight w:val="none"/>
          <w:vertAlign w:val="superscript"/>
        </w:rPr>
        <w:t>18,</w:t>
      </w:r>
      <w:r>
        <w:rPr>
          <w:rFonts w:hint="eastAsia" w:eastAsia="宋体"/>
          <w:highlight w:val="none"/>
          <w:vertAlign w:val="superscript"/>
          <w:lang w:val="en-US" w:eastAsia="zh-CN"/>
        </w:rPr>
        <w:t xml:space="preserve"> </w:t>
      </w:r>
      <w:r>
        <w:rPr>
          <w:highlight w:val="none"/>
          <w:vertAlign w:val="superscript"/>
        </w:rPr>
        <w:t>19</w:t>
      </w:r>
      <w:r>
        <w:rPr>
          <w:highlight w:val="none"/>
        </w:rPr>
        <w:t>. The regularisation parameter was selected by likelihood-based K-fold cross-validation over a 100-point geometric grid from lambda-max = 0.824 to 1% of that value, yielding lambda = 0.0581. Partial correlations were derived from the precision matrix. Cross-sectional network reporting followed current methodological standards</w:t>
      </w:r>
      <w:r>
        <w:rPr>
          <w:highlight w:val="none"/>
          <w:vertAlign w:val="superscript"/>
        </w:rPr>
        <w:t>23</w:t>
      </w:r>
      <w:r>
        <w:rPr>
          <w:highlight w:val="none"/>
        </w:rPr>
        <w:t>.</w:t>
      </w:r>
    </w:p>
    <w:p w14:paraId="24FCEB88">
      <w:pPr>
        <w:pStyle w:val="5"/>
        <w:keepNext/>
        <w:rPr>
          <w:highlight w:val="none"/>
        </w:rPr>
      </w:pPr>
      <w:r>
        <w:rPr>
          <w:highlight w:val="none"/>
        </w:rPr>
        <w:t>Structural-control and robustness analyses</w:t>
      </w:r>
    </w:p>
    <w:p w14:paraId="36576B04">
      <w:pPr>
        <w:rPr>
          <w:highlight w:val="none"/>
        </w:rPr>
      </w:pPr>
      <w:r>
        <w:rPr>
          <w:highlight w:val="none"/>
        </w:rPr>
        <w:t>Minimum dominating sets were enumerated exhaustively</w:t>
      </w:r>
      <w:r>
        <w:rPr>
          <w:highlight w:val="none"/>
          <w:vertAlign w:val="superscript"/>
        </w:rPr>
        <w:t>20,</w:t>
      </w:r>
      <w:r>
        <w:rPr>
          <w:rFonts w:hint="eastAsia" w:eastAsia="宋体"/>
          <w:highlight w:val="none"/>
          <w:vertAlign w:val="superscript"/>
          <w:lang w:val="en-US" w:eastAsia="zh-CN"/>
        </w:rPr>
        <w:t xml:space="preserve"> </w:t>
      </w:r>
      <w:r>
        <w:rPr>
          <w:highlight w:val="none"/>
          <w:vertAlign w:val="superscript"/>
        </w:rPr>
        <w:t>21</w:t>
      </w:r>
      <w:r>
        <w:rPr>
          <w:highlight w:val="none"/>
        </w:rPr>
        <w:t>. A dominating set is a group of nodes such that every node in the graph either belongs to the set or is adjacent to a member. Control frequency was defined as the proportion of minimum dominating-set solutions containing a node. The module control network summarised inter-module structural coverage using average module control strength</w:t>
      </w:r>
      <w:r>
        <w:rPr>
          <w:highlight w:val="none"/>
          <w:vertAlign w:val="superscript"/>
        </w:rPr>
        <w:t>22</w:t>
      </w:r>
      <w:r>
        <w:rPr>
          <w:highlight w:val="none"/>
        </w:rPr>
        <w:t>. These quantities refer to the topology of the estimated undirected graph; they do not represent intervention effects, dynamical controllability or temporal precedence.</w:t>
      </w:r>
    </w:p>
    <w:p w14:paraId="270DCF86">
      <w:pPr>
        <w:rPr>
          <w:highlight w:val="none"/>
        </w:rPr>
      </w:pPr>
      <w:r>
        <w:rPr>
          <w:highlight w:val="none"/>
        </w:rPr>
        <w:t>To separate minimum-set size from node identity, 500 degree-preserving null networks were generated by double-edge-swap randomisation and each node's observed control frequency was compared with its node-specific null domination frequency. Estimator sensitivity was examined with EBIC graphical-Lasso networks at gamma values of 0, 0.25 and 0.5, the primary cross-validated network, and a positive-edges-only version. Six community-detection algorithms (Louvain, Leiden, Walktrap, Spinglass, Fast-Greedy and Infomap) were compared with the six prespecified domains using adjusted Rand index and normalised mutual information</w:t>
      </w:r>
      <w:r>
        <w:rPr>
          <w:rFonts w:hint="eastAsia" w:eastAsia="宋体"/>
          <w:highlight w:val="none"/>
          <w:vertAlign w:val="superscript"/>
          <w:lang w:val="en-US" w:eastAsia="zh-CN"/>
        </w:rPr>
        <w:t>31</w:t>
      </w:r>
      <w:r>
        <w:rPr>
          <w:highlight w:val="none"/>
        </w:rPr>
        <w:t>. Community assignments were also compared across waves.</w:t>
      </w:r>
    </w:p>
    <w:p w14:paraId="26572387">
      <w:pPr>
        <w:rPr>
          <w:rFonts w:hint="eastAsia" w:eastAsia="宋体"/>
          <w:highlight w:val="none"/>
          <w:lang w:val="en-US" w:eastAsia="zh-CN"/>
        </w:rPr>
      </w:pPr>
      <w:r>
        <w:rPr>
          <w:highlight w:val="none"/>
        </w:rPr>
        <w:t>We additionally calculated node strength, closeness, betweenness, eigenvector centrality, signed expected influence, bridge strength, bridge expected influence, bridge betweenness, participation coefficient, average controllability, modal controllability and control energy</w:t>
      </w:r>
      <w:r>
        <w:rPr>
          <w:rFonts w:hint="eastAsia" w:eastAsia="宋体"/>
          <w:highlight w:val="none"/>
          <w:vertAlign w:val="superscript"/>
          <w:lang w:val="en-US" w:eastAsia="zh-CN"/>
        </w:rPr>
        <w:t>32</w:t>
      </w:r>
      <w:r>
        <w:rPr>
          <w:highlight w:val="none"/>
        </w:rPr>
        <w:t xml:space="preserve">. </w:t>
      </w:r>
      <w:r>
        <w:rPr>
          <w:rFonts w:hint="eastAsia"/>
          <w:highlight w:val="none"/>
        </w:rPr>
        <w:t>Average and modal controllability and the control energy required to drive the sink modules were derived from the discrete-time linear controllability Gramian applied to the absolute-weight adjacency matrix.</w:t>
      </w:r>
      <w:r>
        <w:rPr>
          <w:rFonts w:hint="eastAsia" w:eastAsia="宋体"/>
          <w:highlight w:val="none"/>
          <w:lang w:val="en-US" w:eastAsia="zh-CN"/>
        </w:rPr>
        <w:t xml:space="preserve"> </w:t>
      </w:r>
      <w:r>
        <w:rPr>
          <w:highlight w:val="none"/>
        </w:rPr>
        <w:t>Spearman correlations and principal-component analysis assessed overlap among node metrics. Node-knockout analyses and sustained nonlinear propagation simulations were retained as supplementary robustness analyses. The propagation model applied a hyperbolic-tangent activation with gain g = 0.9 to the row-normalised absolute adjacency matrix under sustained module input.</w:t>
      </w:r>
      <w:r>
        <w:rPr>
          <w:rFonts w:hint="eastAsia" w:eastAsia="宋体"/>
          <w:highlight w:val="none"/>
          <w:lang w:val="en-US" w:eastAsia="zh-CN"/>
        </w:rPr>
        <w:t xml:space="preserve"> Group-level network structures were compared using a permutation-based network comparison test</w:t>
      </w:r>
      <w:r>
        <w:rPr>
          <w:rFonts w:hint="eastAsia" w:eastAsia="宋体"/>
          <w:highlight w:val="none"/>
          <w:vertAlign w:val="superscript"/>
          <w:lang w:val="en-US" w:eastAsia="zh-CN"/>
        </w:rPr>
        <w:t>50</w:t>
      </w:r>
      <w:r>
        <w:rPr>
          <w:rFonts w:hint="eastAsia" w:eastAsia="宋体"/>
          <w:highlight w:val="none"/>
          <w:lang w:val="en-US" w:eastAsia="zh-CN"/>
        </w:rPr>
        <w:t>.</w:t>
      </w:r>
    </w:p>
    <w:p w14:paraId="41BF3298">
      <w:pPr>
        <w:pStyle w:val="5"/>
        <w:keepNext/>
        <w:rPr>
          <w:highlight w:val="none"/>
        </w:rPr>
      </w:pPr>
      <w:r>
        <w:rPr>
          <w:highlight w:val="none"/>
        </w:rPr>
        <w:t>Exploratory Bayesian graph</w:t>
      </w:r>
    </w:p>
    <w:p w14:paraId="2CB113E0">
      <w:pPr>
        <w:rPr>
          <w:highlight w:val="none"/>
        </w:rPr>
      </w:pPr>
      <w:r>
        <w:rPr>
          <w:highlight w:val="none"/>
        </w:rPr>
        <w:t>The six baseline SEARCH domain scores were discretised into tertiles and a directed acyclic graph was learned by hill-climb search with the Bayesian information criterion in pgmpy. Directed-edge stability was estimated across 200 bootstrap resamples. We also examined the completed partially directed acyclic graph, quartile discretisation, a continuous Gaussian Bayesian network and leave-one-domain-out correlations. Observational Bayesian graphs identify an equivalence class and can be altered by unmeasured confounding. The analysis was therefore interpreted as an exploratory method-level directional comparison rather than causal identification.</w:t>
      </w:r>
    </w:p>
    <w:p w14:paraId="70972AB3">
      <w:pPr>
        <w:pStyle w:val="5"/>
        <w:keepNext/>
        <w:rPr>
          <w:highlight w:val="none"/>
        </w:rPr>
      </w:pPr>
      <w:r>
        <w:rPr>
          <w:highlight w:val="none"/>
        </w:rPr>
        <w:t>Global Mind Project analysis</w:t>
      </w:r>
    </w:p>
    <w:p w14:paraId="6C709D83">
      <w:pPr>
        <w:rPr>
          <w:highlight w:val="none"/>
        </w:rPr>
      </w:pPr>
      <w:r>
        <w:rPr>
          <w:highlight w:val="none"/>
        </w:rPr>
        <w:t>The Global Mind Project/Mental Health Million dataset contains adult self-report records collected internationally</w:t>
      </w:r>
      <w:r>
        <w:rPr>
          <w:rFonts w:hint="eastAsia" w:eastAsia="宋体"/>
          <w:highlight w:val="none"/>
          <w:vertAlign w:val="superscript"/>
          <w:lang w:val="en-US" w:eastAsia="zh-CN"/>
        </w:rPr>
        <w:t>29</w:t>
      </w:r>
      <w:r>
        <w:rPr>
          <w:highlight w:val="none"/>
          <w:vertAlign w:val="superscript"/>
        </w:rPr>
        <w:t>,</w:t>
      </w:r>
      <w:r>
        <w:rPr>
          <w:rFonts w:hint="eastAsia" w:eastAsia="宋体"/>
          <w:highlight w:val="none"/>
          <w:vertAlign w:val="superscript"/>
          <w:lang w:val="en-US" w:eastAsia="zh-CN"/>
        </w:rPr>
        <w:t xml:space="preserve"> 30</w:t>
      </w:r>
      <w:r>
        <w:rPr>
          <w:highlight w:val="none"/>
        </w:rPr>
        <w:t>. We selected participants aged 18-24 years; 147,506 had complete data for six mapped constructs in a pooled sample spanning 240 countries. Emotion was represented by fear/anxiety, sadness/hopelessness, mood swings and anger; broad behaviour by restlessness/hyperactivity, aggression and impulsivity; sleep by sleep frequency and quality; diet by ultra-processed food, fruit/vegetable and sugary-food frequency and appetite; activity by exercise frequency; and digital exposure by social-media frequency.</w:t>
      </w:r>
    </w:p>
    <w:p w14:paraId="5A02B0BE">
      <w:pPr>
        <w:rPr>
          <w:rFonts w:hint="eastAsia"/>
          <w:highlight w:val="none"/>
        </w:rPr>
      </w:pPr>
      <w:r>
        <w:rPr>
          <w:rFonts w:hint="eastAsia"/>
          <w:highlight w:val="none"/>
        </w:rPr>
        <w:t xml:space="preserve">Within each mapped GMP domain, component items were z-standardised and averaged to form a domain score. The six domain scores were transformed to normal marginals, and a Gaussian graphical model was estimated using cross-validated graphical Lasso. Domain strength was calculated as the sum of absolute partial correlations, with 95% confidence intervals obtained from 300 non-parametric bootstrap resamples.  </w:t>
      </w:r>
    </w:p>
    <w:p w14:paraId="10B28F35">
      <w:pPr>
        <w:rPr>
          <w:highlight w:val="none"/>
        </w:rPr>
      </w:pPr>
      <w:r>
        <w:rPr>
          <w:rFonts w:hint="eastAsia"/>
          <w:highlight w:val="none"/>
        </w:rPr>
        <w:t>For the descriptive comparison in Fig. 5b, the 104 baseline SEARCH items were summed within six corresponding domains, and the resulting domain scores were z-standardised. A six-domain partial-correlation network was derived from the inverse correlation matrix, with domain strength calculated in the same way. Strengths were normalised separately within each cohort by dividing each value by the maximum domain strength, so that the strongest domain was assigned a value of 1. This comparison was descriptive and did not test differences between cohorts.</w:t>
      </w:r>
    </w:p>
    <w:p w14:paraId="5DE60377">
      <w:pPr>
        <w:pStyle w:val="5"/>
        <w:keepNext/>
        <w:rPr>
          <w:highlight w:val="none"/>
        </w:rPr>
      </w:pPr>
      <w:r>
        <w:rPr>
          <w:highlight w:val="none"/>
        </w:rPr>
        <w:t>Statistics and reproducibility</w:t>
      </w:r>
    </w:p>
    <w:p w14:paraId="35B7DC72">
      <w:pPr>
        <w:rPr>
          <w:highlight w:val="none"/>
        </w:rPr>
      </w:pPr>
      <w:r>
        <w:rPr>
          <w:highlight w:val="none"/>
        </w:rPr>
        <w:t>All available eligible records were analysed and no a priori sample-size calculation was performed. No missing-data imputation was used. The SEARCH cross-lagged model included 6,092 linked complete cases, the MCS model included 7,838 complete cases, the secondary baseline SEARCH network included 10,356 participants, and the Global Mind Project analysis included 147,506 complete cases. All tests were two-sided. Bootstrap counts were 1,000 for SEARCH directionality, 500 for MCS directionality, 300 for Global Mind Project strength, 200 for Bayesian edge stability and 500 for degree-preserving network nulls. Random seed 42 was used throughout.</w:t>
      </w:r>
    </w:p>
    <w:p w14:paraId="7957EE70">
      <w:pPr>
        <w:pStyle w:val="5"/>
        <w:keepNext/>
        <w:rPr>
          <w:highlight w:val="none"/>
        </w:rPr>
      </w:pPr>
      <w:r>
        <w:rPr>
          <w:highlight w:val="none"/>
        </w:rPr>
        <w:t>Software</w:t>
      </w:r>
    </w:p>
    <w:p w14:paraId="07F7A0BD">
      <w:pPr>
        <w:rPr>
          <w:highlight w:val="none"/>
        </w:rPr>
      </w:pPr>
      <w:r>
        <w:rPr>
          <w:highlight w:val="none"/>
        </w:rPr>
        <w:t>Analyses were conducted in Python using scikit-learn, networkx, python-igraph, leidenalg, python-louvain, statsmodels and pgmpy.</w:t>
      </w:r>
    </w:p>
    <w:p w14:paraId="14F75C5C">
      <w:pPr>
        <w:pStyle w:val="3"/>
        <w:keepNext/>
        <w:rPr>
          <w:highlight w:val="none"/>
        </w:rPr>
      </w:pPr>
      <w:r>
        <w:rPr>
          <w:highlight w:val="none"/>
        </w:rPr>
        <w:t>Data Availability</w:t>
      </w:r>
    </w:p>
    <w:p w14:paraId="43A95D9B">
      <w:pPr>
        <w:rPr>
          <w:highlight w:val="none"/>
        </w:rPr>
      </w:pPr>
      <w:r>
        <w:rPr>
          <w:highlight w:val="none"/>
        </w:rPr>
        <w:t>Individual-level SEARCH data are restricted by ethics approval 2022-KY095-02 and cannot be shared publicly. Global Mind Project data are available from Sapien Labs under the provider's data-access conditions. Millennium Cohort Study data are available to registered users from the UK Data Service under its End User Licence. Derived, non-identifiable matrices, cross-lagged coefficients, bootstrap outputs, Bayesian-network edge lists, null-model distributions and machine-readable result tables are supplied in Supplementary Data 1 and the accompanying code archives. No individual-level records are included.</w:t>
      </w:r>
    </w:p>
    <w:p w14:paraId="73739E15">
      <w:pPr>
        <w:pStyle w:val="3"/>
        <w:keepNext/>
        <w:rPr>
          <w:highlight w:val="none"/>
        </w:rPr>
      </w:pPr>
      <w:r>
        <w:rPr>
          <w:highlight w:val="none"/>
        </w:rPr>
        <w:t>Code Availability</w:t>
      </w:r>
    </w:p>
    <w:p w14:paraId="26ACBBA6">
      <w:pPr>
        <w:rPr>
          <w:highlight w:val="none"/>
        </w:rPr>
      </w:pPr>
      <w:r>
        <w:rPr>
          <w:highlight w:val="none"/>
        </w:rPr>
        <w:t>Analysis scripts for SEARCH network reconstruction, cross-lagged panel networks, structural-control analyses, Bayesian graphs, community detection, null models and figure generation are supplied in the accompanying main code archive. External Global Mind Project and Millennium Cohort Study scripts are supplied in a separate external-validation code archive.</w:t>
      </w:r>
    </w:p>
    <w:p w14:paraId="0D2E1DE9">
      <w:pPr>
        <w:pStyle w:val="3"/>
        <w:keepNext/>
        <w:rPr>
          <w:highlight w:val="none"/>
        </w:rPr>
      </w:pPr>
      <w:r>
        <w:rPr>
          <w:highlight w:val="none"/>
        </w:rPr>
        <w:t>Acknowledgements</w:t>
      </w:r>
    </w:p>
    <w:p w14:paraId="74165767">
      <w:pPr>
        <w:rPr>
          <w:highlight w:val="none"/>
        </w:rPr>
      </w:pPr>
      <w:r>
        <w:rPr>
          <w:highlight w:val="none"/>
        </w:rPr>
        <w:t>This work was supported by the NSFC-Jiangsu Joint Fund (U24A20701) and the Hong Kong Research Grants Council (STG1/M-501/23-N). The funders had no role in study design, data collection and analysis, the decision to publish or preparation of the manuscript.</w:t>
      </w:r>
    </w:p>
    <w:p w14:paraId="486720D2">
      <w:pPr>
        <w:pStyle w:val="3"/>
        <w:keepNext/>
        <w:rPr>
          <w:highlight w:val="none"/>
        </w:rPr>
      </w:pPr>
      <w:r>
        <w:rPr>
          <w:highlight w:val="none"/>
        </w:rPr>
        <w:t>Author Contributions</w:t>
      </w:r>
    </w:p>
    <w:p w14:paraId="71ADDAC0">
      <w:pPr>
        <w:rPr>
          <w:highlight w:val="none"/>
        </w:rPr>
      </w:pPr>
      <w:r>
        <w:rPr>
          <w:highlight w:val="none"/>
        </w:rPr>
        <w:t>X.Z. conceived and designed the study. J.Z. and L.Z. curated the data. X.Z., J.Z. and L.Z. conducted the statistical and network analyses. X.Z. supervised the work. J.Z., L.Z. and X.Z. interpreted the findings. X.Z. drafted the manuscript. All authors reviewed and approved the final manuscript.</w:t>
      </w:r>
    </w:p>
    <w:p w14:paraId="5218EC79">
      <w:pPr>
        <w:pStyle w:val="3"/>
        <w:keepNext/>
        <w:rPr>
          <w:highlight w:val="none"/>
        </w:rPr>
      </w:pPr>
      <w:r>
        <w:rPr>
          <w:highlight w:val="none"/>
        </w:rPr>
        <w:t>Ethics Declaration</w:t>
      </w:r>
    </w:p>
    <w:p w14:paraId="31DAE59B">
      <w:pPr>
        <w:rPr>
          <w:highlight w:val="none"/>
        </w:rPr>
      </w:pPr>
      <w:r>
        <w:rPr>
          <w:rFonts w:hint="eastAsia"/>
          <w:highlight w:val="none"/>
        </w:rPr>
        <w:t>The present study analysed existing SEARCH, MCS and GMP data; no new participants were recruited and no new data were collected.</w:t>
      </w:r>
      <w:r>
        <w:rPr>
          <w:rFonts w:hint="eastAsia" w:eastAsia="宋体"/>
          <w:highlight w:val="none"/>
          <w:lang w:val="en-US" w:eastAsia="zh-CN"/>
        </w:rPr>
        <w:t xml:space="preserve"> </w:t>
      </w:r>
      <w:r>
        <w:rPr>
          <w:highlight w:val="none"/>
        </w:rPr>
        <w:t>The SEARCH study was approved by the Ethics Committee of the Affiliated Brain Hospital of Nanjing Medical University (approval 2022-KY095-02) and conducted in accordance with the Declaration of Helsinki. Written informed consent was obtained from participating adolescents and their legal guardians before data collection. The Global Mind Project and Millennium Cohort Study analyses used de-identified secondary data collected under the ethical approvals and access conditions of their respective data providers.</w:t>
      </w:r>
    </w:p>
    <w:p w14:paraId="4E834131">
      <w:pPr>
        <w:pStyle w:val="3"/>
        <w:keepNext/>
        <w:rPr>
          <w:highlight w:val="none"/>
        </w:rPr>
      </w:pPr>
      <w:r>
        <w:rPr>
          <w:highlight w:val="none"/>
        </w:rPr>
        <w:t>Competing Interests</w:t>
      </w:r>
    </w:p>
    <w:p w14:paraId="44287EB0">
      <w:pPr>
        <w:rPr>
          <w:highlight w:val="none"/>
        </w:rPr>
      </w:pPr>
      <w:r>
        <w:rPr>
          <w:highlight w:val="none"/>
        </w:rPr>
        <w:t>The authors declare no financial or non-financial competing interests.</w:t>
      </w:r>
    </w:p>
    <w:p w14:paraId="5F70580D">
      <w:pPr>
        <w:pStyle w:val="3"/>
        <w:keepNext/>
        <w:rPr>
          <w:highlight w:val="none"/>
        </w:rPr>
      </w:pPr>
      <w:r>
        <w:rPr>
          <w:highlight w:val="none"/>
        </w:rPr>
        <w:t>References</w:t>
      </w:r>
    </w:p>
    <w:p w14:paraId="354FB0C0">
      <w:pPr>
        <w:numPr>
          <w:ilvl w:val="0"/>
          <w:numId w:val="7"/>
        </w:numPr>
        <w:spacing w:after="80" w:line="276" w:lineRule="auto"/>
        <w:ind w:left="432" w:hanging="432"/>
        <w:rPr>
          <w:rFonts w:hint="default" w:ascii="Times New Roman" w:hAnsi="Times New Roman" w:cs="Times New Roman"/>
          <w:sz w:val="18"/>
          <w:szCs w:val="18"/>
          <w:highlight w:val="none"/>
        </w:rPr>
      </w:pPr>
      <w:r>
        <w:rPr>
          <w:rFonts w:hint="eastAsia" w:ascii="Times New Roman" w:hAnsi="Times New Roman" w:eastAsia="宋体" w:cs="Times New Roman"/>
          <w:sz w:val="24"/>
          <w:szCs w:val="24"/>
          <w:highlight w:val="none"/>
          <w:lang w:val="en-US" w:eastAsia="zh-CN"/>
        </w:rPr>
        <w:t xml:space="preserve"> </w:t>
      </w:r>
      <w:r>
        <w:rPr>
          <w:rFonts w:hint="default" w:ascii="Times New Roman" w:hAnsi="Times New Roman" w:cs="Times New Roman"/>
          <w:sz w:val="18"/>
          <w:szCs w:val="18"/>
          <w:highlight w:val="none"/>
        </w:rPr>
        <w:t xml:space="preserve">Auerbach, R. P. et al. WHO World Mental Health Surveys International College Student Project: Prevalence and distribution of mental disorders. </w:t>
      </w:r>
      <w:r>
        <w:rPr>
          <w:rFonts w:hint="default" w:ascii="Times New Roman" w:hAnsi="Times New Roman" w:cs="Times New Roman"/>
          <w:i/>
          <w:iCs/>
          <w:sz w:val="18"/>
          <w:szCs w:val="18"/>
          <w:highlight w:val="none"/>
        </w:rPr>
        <w:t>J. Abnorm. Psychol.</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127,</w:t>
      </w:r>
      <w:r>
        <w:rPr>
          <w:rFonts w:hint="default" w:ascii="Times New Roman" w:hAnsi="Times New Roman" w:cs="Times New Roman"/>
          <w:sz w:val="18"/>
          <w:szCs w:val="18"/>
          <w:highlight w:val="none"/>
        </w:rPr>
        <w:t xml:space="preserve"> 623–638</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(2018). https://doi.org/10.1037/abn0000362</w:t>
      </w:r>
    </w:p>
    <w:p w14:paraId="25980CDF">
      <w:pPr>
        <w:numPr>
          <w:ilvl w:val="0"/>
          <w:numId w:val="7"/>
        </w:num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 xml:space="preserve">Sohn, S. Y., Rees, P., Wildridge, B., Kalk, N. J. &amp; Carter, B. Prevalence of problematic smartphone usage and associated mental health outcomes amongst children and young people: a systematic review, meta-analysis and GRADE of the evidence. </w:t>
      </w:r>
      <w:r>
        <w:rPr>
          <w:rFonts w:hint="default" w:ascii="Times New Roman" w:hAnsi="Times New Roman" w:cs="Times New Roman"/>
          <w:i/>
          <w:sz w:val="18"/>
          <w:szCs w:val="18"/>
          <w:highlight w:val="none"/>
        </w:rPr>
        <w:t xml:space="preserve">BMC Psychiatry </w:t>
      </w:r>
      <w:r>
        <w:rPr>
          <w:rFonts w:hint="default" w:ascii="Times New Roman" w:hAnsi="Times New Roman" w:cs="Times New Roman"/>
          <w:b/>
          <w:sz w:val="18"/>
          <w:szCs w:val="18"/>
          <w:highlight w:val="none"/>
        </w:rPr>
        <w:t>19</w:t>
      </w:r>
      <w:r>
        <w:rPr>
          <w:rFonts w:hint="default" w:ascii="Times New Roman" w:hAnsi="Times New Roman" w:cs="Times New Roman"/>
          <w:sz w:val="18"/>
          <w:szCs w:val="18"/>
          <w:highlight w:val="none"/>
        </w:rPr>
        <w:t>, 356</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(2019). https://doi.org/10.1186/s12888-019-2350-x</w:t>
      </w:r>
    </w:p>
    <w:p w14:paraId="55328DF8">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cs="Times New Roman"/>
          <w:sz w:val="18"/>
          <w:szCs w:val="18"/>
          <w:highlight w:val="none"/>
        </w:rPr>
        <w:t xml:space="preserve">3. Shiferaw, B. D. et al. Impact of digital addiction on youth health: a systematic review and meta-analysis. </w:t>
      </w:r>
      <w:r>
        <w:rPr>
          <w:rFonts w:hint="default" w:ascii="Times New Roman" w:hAnsi="Times New Roman" w:cs="Times New Roman"/>
          <w:i/>
          <w:sz w:val="18"/>
          <w:szCs w:val="18"/>
          <w:highlight w:val="none"/>
        </w:rPr>
        <w:t xml:space="preserve">J. Behav. Addict. </w:t>
      </w:r>
      <w:r>
        <w:rPr>
          <w:rFonts w:hint="default" w:ascii="Times New Roman" w:hAnsi="Times New Roman" w:cs="Times New Roman"/>
          <w:b/>
          <w:sz w:val="18"/>
          <w:szCs w:val="18"/>
          <w:highlight w:val="none"/>
        </w:rPr>
        <w:t>14</w:t>
      </w:r>
      <w:r>
        <w:rPr>
          <w:rFonts w:hint="default" w:ascii="Times New Roman" w:hAnsi="Times New Roman" w:cs="Times New Roman"/>
          <w:sz w:val="18"/>
          <w:szCs w:val="18"/>
          <w:highlight w:val="none"/>
        </w:rPr>
        <w:t>, 1129–1158</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(2025). https://doi.org/10.1556/2006.2025.00081</w:t>
      </w:r>
    </w:p>
    <w:p w14:paraId="0F7D3D76">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4. Elhai, J. D., Dvorak, R. D., Levine, J. C. &amp; Hall, B. J. Problematic smartphone use: a conceptual overview and systematic review of relations with anxiety and depression psychopathology.</w:t>
      </w:r>
      <w:r>
        <w:rPr>
          <w:rFonts w:hint="default" w:ascii="Times New Roman" w:hAnsi="Times New Roman" w:cs="Times New Roman"/>
          <w:i/>
          <w:iCs/>
          <w:sz w:val="18"/>
          <w:szCs w:val="18"/>
          <w:highlight w:val="none"/>
        </w:rPr>
        <w:t xml:space="preserve"> J. Affect. Disord. </w:t>
      </w:r>
      <w:r>
        <w:rPr>
          <w:rFonts w:hint="default" w:ascii="Times New Roman" w:hAnsi="Times New Roman" w:cs="Times New Roman"/>
          <w:b/>
          <w:bCs/>
          <w:sz w:val="18"/>
          <w:szCs w:val="18"/>
          <w:highlight w:val="none"/>
        </w:rPr>
        <w:t>207,</w:t>
      </w:r>
      <w:r>
        <w:rPr>
          <w:rFonts w:hint="default" w:ascii="Times New Roman" w:hAnsi="Times New Roman" w:cs="Times New Roman"/>
          <w:sz w:val="18"/>
          <w:szCs w:val="18"/>
          <w:highlight w:val="none"/>
        </w:rPr>
        <w:t xml:space="preserve"> 251–259</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(2017).</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https://doi.org/10.1016/j.jad.2016.08.030</w:t>
      </w:r>
    </w:p>
    <w:p w14:paraId="7F4D55AF">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5</w:t>
      </w:r>
      <w:r>
        <w:rPr>
          <w:rFonts w:hint="default" w:ascii="Times New Roman" w:hAnsi="Times New Roman" w:cs="Times New Roman"/>
          <w:sz w:val="18"/>
          <w:szCs w:val="18"/>
          <w:highlight w:val="none"/>
        </w:rPr>
        <w:t xml:space="preserve">. Odgers, C. L. &amp; Jensen, M. R. Annual Research Review: adolescent mental health in the digital age: facts, fears, and future directions. </w:t>
      </w:r>
      <w:r>
        <w:rPr>
          <w:rFonts w:hint="default" w:ascii="Times New Roman" w:hAnsi="Times New Roman" w:cs="Times New Roman"/>
          <w:i/>
          <w:iCs/>
          <w:sz w:val="18"/>
          <w:szCs w:val="18"/>
          <w:highlight w:val="none"/>
        </w:rPr>
        <w:t>J. Child Psychol. Psychiatry</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61,</w:t>
      </w:r>
      <w:r>
        <w:rPr>
          <w:rFonts w:hint="default" w:ascii="Times New Roman" w:hAnsi="Times New Roman" w:cs="Times New Roman"/>
          <w:sz w:val="18"/>
          <w:szCs w:val="18"/>
          <w:highlight w:val="none"/>
        </w:rPr>
        <w:t xml:space="preserve"> 336–34</w:t>
      </w:r>
      <w:r>
        <w:rPr>
          <w:rFonts w:hint="default" w:ascii="Times New Roman" w:hAnsi="Times New Roman" w:eastAsia="宋体" w:cs="Times New Roman"/>
          <w:sz w:val="18"/>
          <w:szCs w:val="18"/>
          <w:highlight w:val="none"/>
          <w:lang w:val="en-US" w:eastAsia="zh-CN"/>
        </w:rPr>
        <w:t xml:space="preserve">8 </w:t>
      </w:r>
      <w:r>
        <w:rPr>
          <w:rFonts w:hint="default" w:ascii="Times New Roman" w:hAnsi="Times New Roman" w:cs="Times New Roman"/>
          <w:sz w:val="18"/>
          <w:szCs w:val="18"/>
          <w:highlight w:val="none"/>
        </w:rPr>
        <w:t>(2020). https://doi.org/10.1111/jcpp.13190</w:t>
      </w:r>
    </w:p>
    <w:p w14:paraId="54DD1A67">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6</w:t>
      </w:r>
      <w:r>
        <w:rPr>
          <w:rFonts w:hint="default" w:ascii="Times New Roman" w:hAnsi="Times New Roman" w:cs="Times New Roman"/>
          <w:sz w:val="18"/>
          <w:szCs w:val="18"/>
          <w:highlight w:val="none"/>
        </w:rPr>
        <w:t xml:space="preserve">. Boers, E., Afzali, M. H., Newton, N. &amp; Conrod, P. Association of screen time and depression in adolescence. </w:t>
      </w:r>
      <w:r>
        <w:rPr>
          <w:rFonts w:hint="default" w:ascii="Times New Roman" w:hAnsi="Times New Roman" w:cs="Times New Roman"/>
          <w:i/>
          <w:iCs/>
          <w:sz w:val="18"/>
          <w:szCs w:val="18"/>
          <w:highlight w:val="none"/>
        </w:rPr>
        <w:t xml:space="preserve">JAMA Pediatr. </w:t>
      </w:r>
      <w:r>
        <w:rPr>
          <w:rFonts w:hint="default" w:ascii="Times New Roman" w:hAnsi="Times New Roman" w:cs="Times New Roman"/>
          <w:b/>
          <w:bCs/>
          <w:sz w:val="18"/>
          <w:szCs w:val="18"/>
          <w:highlight w:val="none"/>
        </w:rPr>
        <w:t>173,</w:t>
      </w:r>
      <w:r>
        <w:rPr>
          <w:rFonts w:hint="default" w:ascii="Times New Roman" w:hAnsi="Times New Roman" w:cs="Times New Roman"/>
          <w:sz w:val="18"/>
          <w:szCs w:val="18"/>
          <w:highlight w:val="none"/>
        </w:rPr>
        <w:t xml:space="preserve"> 853–859 (2019). https://doi.org/10.1001/jamapediatrics.2019.1759</w:t>
      </w:r>
    </w:p>
    <w:p w14:paraId="414AB69D">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7</w:t>
      </w:r>
      <w:r>
        <w:rPr>
          <w:rFonts w:hint="default" w:ascii="Times New Roman" w:hAnsi="Times New Roman" w:cs="Times New Roman"/>
          <w:sz w:val="18"/>
          <w:szCs w:val="18"/>
          <w:highlight w:val="none"/>
        </w:rPr>
        <w:t xml:space="preserve">. Lemola, S., Perkinson-Gloor, N., Brand, S., Dewald-Kaufmann, J. F. &amp; Grob, A. Adolescents’ electronic media use at night, sleep disturbance, and depressive symptoms in the smartphone age. </w:t>
      </w:r>
      <w:r>
        <w:rPr>
          <w:rFonts w:hint="default" w:ascii="Times New Roman" w:hAnsi="Times New Roman" w:cs="Times New Roman"/>
          <w:i/>
          <w:iCs/>
          <w:sz w:val="18"/>
          <w:szCs w:val="18"/>
          <w:highlight w:val="none"/>
        </w:rPr>
        <w:t>J. Youth Adolesc.</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44,</w:t>
      </w:r>
      <w:r>
        <w:rPr>
          <w:rFonts w:hint="default" w:ascii="Times New Roman" w:hAnsi="Times New Roman" w:cs="Times New Roman"/>
          <w:sz w:val="18"/>
          <w:szCs w:val="18"/>
          <w:highlight w:val="none"/>
        </w:rPr>
        <w:t xml:space="preserve"> 405–418 (2015). https://doi.org/10.1007/s10964-014-0176-x</w:t>
      </w:r>
    </w:p>
    <w:p w14:paraId="6A4C6CAA">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8</w:t>
      </w:r>
      <w:r>
        <w:rPr>
          <w:rFonts w:hint="default" w:ascii="Times New Roman" w:hAnsi="Times New Roman" w:cs="Times New Roman"/>
          <w:sz w:val="18"/>
          <w:szCs w:val="18"/>
          <w:highlight w:val="none"/>
        </w:rPr>
        <w:t xml:space="preserve">. Elhai, J. D., Yang, H., Fang, J., Bai, X. &amp; Hall, B. J. Depression and anxiety symptoms are related to problematic smartphone use severity in Chinese young adults: fear of missing out as a mediator. </w:t>
      </w:r>
      <w:r>
        <w:rPr>
          <w:rFonts w:hint="default" w:ascii="Times New Roman" w:hAnsi="Times New Roman" w:cs="Times New Roman"/>
          <w:i/>
          <w:iCs/>
          <w:sz w:val="18"/>
          <w:szCs w:val="18"/>
          <w:highlight w:val="none"/>
        </w:rPr>
        <w:t>Addict. Behav.</w:t>
      </w:r>
      <w:r>
        <w:rPr>
          <w:rFonts w:hint="default" w:ascii="Times New Roman" w:hAnsi="Times New Roman" w:cs="Times New Roman"/>
          <w:b/>
          <w:bCs/>
          <w:sz w:val="18"/>
          <w:szCs w:val="18"/>
          <w:highlight w:val="none"/>
        </w:rPr>
        <w:t xml:space="preserve"> 101,</w:t>
      </w:r>
      <w:r>
        <w:rPr>
          <w:rFonts w:hint="default" w:ascii="Times New Roman" w:hAnsi="Times New Roman" w:cs="Times New Roman"/>
          <w:sz w:val="18"/>
          <w:szCs w:val="18"/>
          <w:highlight w:val="none"/>
        </w:rPr>
        <w:t xml:space="preserve"> 105962 (2020). https://doi.org/10.1016/j.addbeh.2019.04.020</w:t>
      </w:r>
    </w:p>
    <w:p w14:paraId="10F1A87A">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9</w:t>
      </w:r>
      <w:r>
        <w:rPr>
          <w:rFonts w:hint="default" w:ascii="Times New Roman" w:hAnsi="Times New Roman" w:cs="Times New Roman"/>
          <w:sz w:val="18"/>
          <w:szCs w:val="18"/>
          <w:highlight w:val="none"/>
        </w:rPr>
        <w:t>. Alimoradi, Z. et al. Internet addiction and sleep problems: a systematic review and meta-analysis.</w:t>
      </w:r>
      <w:r>
        <w:rPr>
          <w:rFonts w:hint="default" w:ascii="Times New Roman" w:hAnsi="Times New Roman" w:cs="Times New Roman"/>
          <w:i/>
          <w:iCs/>
          <w:sz w:val="18"/>
          <w:szCs w:val="18"/>
          <w:highlight w:val="none"/>
        </w:rPr>
        <w:t xml:space="preserve"> Sleep Med. Rev.</w:t>
      </w:r>
      <w:r>
        <w:rPr>
          <w:rFonts w:hint="default" w:ascii="Times New Roman" w:hAnsi="Times New Roman" w:cs="Times New Roman"/>
          <w:b/>
          <w:bCs/>
          <w:sz w:val="18"/>
          <w:szCs w:val="18"/>
          <w:highlight w:val="none"/>
        </w:rPr>
        <w:t xml:space="preserve"> 47,</w:t>
      </w:r>
      <w:r>
        <w:rPr>
          <w:rFonts w:hint="default" w:ascii="Times New Roman" w:hAnsi="Times New Roman" w:cs="Times New Roman"/>
          <w:sz w:val="18"/>
          <w:szCs w:val="18"/>
          <w:highlight w:val="none"/>
        </w:rPr>
        <w:t xml:space="preserve"> 51–61 (2019). </w:t>
      </w:r>
      <w:r>
        <w:rPr>
          <w:rFonts w:hint="default" w:ascii="Times New Roman" w:hAnsi="Times New Roman" w:cs="Times New Roman"/>
          <w:sz w:val="18"/>
          <w:szCs w:val="18"/>
          <w:highlight w:val="none"/>
        </w:rPr>
        <w:fldChar w:fldCharType="begin"/>
      </w:r>
      <w:r>
        <w:rPr>
          <w:rFonts w:hint="default" w:ascii="Times New Roman" w:hAnsi="Times New Roman" w:cs="Times New Roman"/>
          <w:sz w:val="18"/>
          <w:szCs w:val="18"/>
          <w:highlight w:val="none"/>
        </w:rPr>
        <w:instrText xml:space="preserve"> HYPERLINK "https://doi.org/10.1016/j.smrv.2019.06.004" </w:instrText>
      </w:r>
      <w:r>
        <w:rPr>
          <w:rFonts w:hint="default" w:ascii="Times New Roman" w:hAnsi="Times New Roman" w:cs="Times New Roman"/>
          <w:sz w:val="18"/>
          <w:szCs w:val="18"/>
          <w:highlight w:val="none"/>
        </w:rPr>
        <w:fldChar w:fldCharType="separate"/>
      </w:r>
      <w:r>
        <w:rPr>
          <w:rFonts w:hint="default" w:ascii="Times New Roman" w:hAnsi="Times New Roman" w:cs="Times New Roman"/>
          <w:sz w:val="18"/>
          <w:szCs w:val="18"/>
          <w:highlight w:val="none"/>
        </w:rPr>
        <w:t>https://doi.org/10.1016/j.smrv.2019.06.004</w:t>
      </w:r>
      <w:r>
        <w:rPr>
          <w:rFonts w:hint="default" w:ascii="Times New Roman" w:hAnsi="Times New Roman" w:cs="Times New Roman"/>
          <w:sz w:val="18"/>
          <w:szCs w:val="18"/>
          <w:highlight w:val="none"/>
        </w:rPr>
        <w:fldChar w:fldCharType="end"/>
      </w:r>
    </w:p>
    <w:p w14:paraId="59AC00AF">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10</w:t>
      </w:r>
      <w:r>
        <w:rPr>
          <w:rFonts w:hint="default" w:ascii="Times New Roman" w:hAnsi="Times New Roman" w:cs="Times New Roman"/>
          <w:sz w:val="18"/>
          <w:szCs w:val="18"/>
          <w:highlight w:val="none"/>
        </w:rPr>
        <w:t xml:space="preserve">. Orben, A. &amp; Przybylski, A. K. The association between adolescent well-being and digital technology use. </w:t>
      </w:r>
      <w:r>
        <w:rPr>
          <w:rFonts w:hint="default" w:ascii="Times New Roman" w:hAnsi="Times New Roman" w:cs="Times New Roman"/>
          <w:i/>
          <w:iCs/>
          <w:sz w:val="18"/>
          <w:szCs w:val="18"/>
          <w:highlight w:val="none"/>
        </w:rPr>
        <w:t xml:space="preserve">Nat. Hum. Behav. </w:t>
      </w:r>
      <w:r>
        <w:rPr>
          <w:rFonts w:hint="default" w:ascii="Times New Roman" w:hAnsi="Times New Roman" w:cs="Times New Roman"/>
          <w:b/>
          <w:bCs/>
          <w:sz w:val="18"/>
          <w:szCs w:val="18"/>
          <w:highlight w:val="none"/>
        </w:rPr>
        <w:t xml:space="preserve">3, </w:t>
      </w:r>
      <w:r>
        <w:rPr>
          <w:rFonts w:hint="default" w:ascii="Times New Roman" w:hAnsi="Times New Roman" w:cs="Times New Roman"/>
          <w:sz w:val="18"/>
          <w:szCs w:val="18"/>
          <w:highlight w:val="none"/>
        </w:rPr>
        <w:t>173–182</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(2019). https://doi.org/10.1038/s41562-018-0506-1</w:t>
      </w:r>
    </w:p>
    <w:p w14:paraId="05DE90FC">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11</w:t>
      </w:r>
      <w:r>
        <w:rPr>
          <w:rFonts w:hint="default" w:ascii="Times New Roman" w:hAnsi="Times New Roman" w:cs="Times New Roman"/>
          <w:sz w:val="18"/>
          <w:szCs w:val="18"/>
          <w:highlight w:val="none"/>
        </w:rPr>
        <w:t>. Roberston, L., Twenge, J. M., Joiner, T. E. &amp; Cummins, K. Associations between screen time and internalizing disorder diagnoses among 9- to 10-year-olds.</w:t>
      </w:r>
      <w:r>
        <w:rPr>
          <w:rFonts w:hint="default" w:ascii="Times New Roman" w:hAnsi="Times New Roman" w:cs="Times New Roman"/>
          <w:i/>
          <w:iCs/>
          <w:sz w:val="18"/>
          <w:szCs w:val="18"/>
          <w:highlight w:val="none"/>
        </w:rPr>
        <w:t xml:space="preserve"> J. Affect. Disord.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311, </w:t>
      </w:r>
      <w:r>
        <w:rPr>
          <w:rFonts w:hint="default" w:ascii="Times New Roman" w:hAnsi="Times New Roman" w:cs="Times New Roman"/>
          <w:sz w:val="18"/>
          <w:szCs w:val="18"/>
          <w:highlight w:val="none"/>
        </w:rPr>
        <w:t>530–537</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(2022). https://doi.org/10.1016/j.jad.2022.05.071</w:t>
      </w:r>
    </w:p>
    <w:p w14:paraId="21D90752">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12. Borsboom, D. A network theory of mental disorders.</w:t>
      </w:r>
      <w:r>
        <w:rPr>
          <w:rFonts w:hint="default" w:ascii="Times New Roman" w:hAnsi="Times New Roman" w:cs="Times New Roman"/>
          <w:i/>
          <w:iCs/>
          <w:sz w:val="18"/>
          <w:szCs w:val="18"/>
          <w:highlight w:val="none"/>
        </w:rPr>
        <w:t xml:space="preserve"> World Psychiatry</w:t>
      </w:r>
      <w:r>
        <w:rPr>
          <w:rFonts w:hint="default" w:ascii="Times New Roman" w:hAnsi="Times New Roman" w:cs="Times New Roman"/>
          <w:b/>
          <w:bCs/>
          <w:sz w:val="18"/>
          <w:szCs w:val="18"/>
          <w:highlight w:val="none"/>
        </w:rPr>
        <w:t xml:space="preserve"> 16,</w:t>
      </w:r>
      <w:r>
        <w:rPr>
          <w:rFonts w:hint="default" w:ascii="Times New Roman" w:hAnsi="Times New Roman" w:cs="Times New Roman"/>
          <w:sz w:val="18"/>
          <w:szCs w:val="18"/>
          <w:highlight w:val="none"/>
        </w:rPr>
        <w:t xml:space="preserve"> 5–13 (2017). https://doi.org/10.1002/wps.20375</w:t>
      </w:r>
    </w:p>
    <w:p w14:paraId="1DFA94B5">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13. Bringmann, L. F. et al. Psychopathological networks: theory, methods and practice.</w:t>
      </w:r>
      <w:r>
        <w:rPr>
          <w:rFonts w:hint="default" w:ascii="Times New Roman" w:hAnsi="Times New Roman" w:cs="Times New Roman"/>
          <w:i/>
          <w:iCs/>
          <w:sz w:val="18"/>
          <w:szCs w:val="18"/>
          <w:highlight w:val="none"/>
        </w:rPr>
        <w:t xml:space="preserve"> Behav. Res. Ther. </w:t>
      </w:r>
      <w:r>
        <w:rPr>
          <w:rFonts w:hint="default" w:ascii="Times New Roman" w:hAnsi="Times New Roman" w:cs="Times New Roman"/>
          <w:b/>
          <w:bCs/>
          <w:sz w:val="18"/>
          <w:szCs w:val="18"/>
          <w:highlight w:val="none"/>
        </w:rPr>
        <w:t>149,</w:t>
      </w:r>
      <w:r>
        <w:rPr>
          <w:rFonts w:hint="default" w:ascii="Times New Roman" w:hAnsi="Times New Roman" w:cs="Times New Roman"/>
          <w:sz w:val="18"/>
          <w:szCs w:val="18"/>
          <w:highlight w:val="none"/>
        </w:rPr>
        <w:t xml:space="preserve"> 104011 (2022). https://doi.org/10.1016/j.brat.2021.104011</w:t>
      </w:r>
    </w:p>
    <w:p w14:paraId="312794E8">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14. Cramer, A. O. J., Waldorp, L. J., van der Maas, H. L. J. &amp; Borsboom, D. Comorbidity: a network perspective. </w:t>
      </w:r>
      <w:r>
        <w:rPr>
          <w:rFonts w:hint="default" w:ascii="Times New Roman" w:hAnsi="Times New Roman" w:cs="Times New Roman"/>
          <w:i/>
          <w:iCs/>
          <w:sz w:val="18"/>
          <w:szCs w:val="18"/>
          <w:highlight w:val="none"/>
        </w:rPr>
        <w:t>Behav. Brain Sci.</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33, </w:t>
      </w:r>
      <w:r>
        <w:rPr>
          <w:rFonts w:hint="default" w:ascii="Times New Roman" w:hAnsi="Times New Roman" w:cs="Times New Roman"/>
          <w:sz w:val="18"/>
          <w:szCs w:val="18"/>
          <w:highlight w:val="none"/>
        </w:rPr>
        <w:t>137–150 (2010). https://doi.org/10.1017/S0140525X09991567</w:t>
      </w:r>
    </w:p>
    <w:p w14:paraId="5688681D">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15. Robinaugh, D. J., Hoekstra, R. H. A., Toner, E. R. &amp; Borsboom, D. The network approach to psychopathology: a review of the literature 2008–2018 and an agenda for future research. </w:t>
      </w:r>
      <w:r>
        <w:rPr>
          <w:rFonts w:hint="default" w:ascii="Times New Roman" w:hAnsi="Times New Roman" w:cs="Times New Roman"/>
          <w:i/>
          <w:iCs/>
          <w:sz w:val="18"/>
          <w:szCs w:val="18"/>
          <w:highlight w:val="none"/>
        </w:rPr>
        <w:t>Psychol. Med.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50,</w:t>
      </w:r>
      <w:r>
        <w:rPr>
          <w:rFonts w:hint="default" w:ascii="Times New Roman" w:hAnsi="Times New Roman" w:cs="Times New Roman"/>
          <w:sz w:val="18"/>
          <w:szCs w:val="18"/>
          <w:highlight w:val="none"/>
        </w:rPr>
        <w:t xml:space="preserve"> 353–366 (2020). https://doi.org/10.1017/S0033291719003404</w:t>
      </w:r>
    </w:p>
    <w:p w14:paraId="4A0F0696">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16. Monteleone, A. M. &amp; Cascino, G. A systematic review of network analysis studies in eating disorders: is time to broaden the core psychopathology to non-specific symptoms.</w:t>
      </w:r>
      <w:r>
        <w:rPr>
          <w:rFonts w:hint="default" w:ascii="Times New Roman" w:hAnsi="Times New Roman" w:cs="Times New Roman"/>
          <w:i/>
          <w:iCs/>
          <w:sz w:val="18"/>
          <w:szCs w:val="18"/>
          <w:highlight w:val="none"/>
        </w:rPr>
        <w:t xml:space="preserve"> Eur. Eat. Disord. Rev.</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29,</w:t>
      </w:r>
      <w:r>
        <w:rPr>
          <w:rFonts w:hint="default" w:ascii="Times New Roman" w:hAnsi="Times New Roman" w:cs="Times New Roman"/>
          <w:sz w:val="18"/>
          <w:szCs w:val="18"/>
          <w:highlight w:val="none"/>
        </w:rPr>
        <w:t xml:space="preserve"> 531–547 (2021). https://doi.org/10.1002/erv.2834</w:t>
      </w:r>
    </w:p>
    <w:p w14:paraId="3D7C9178">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17.</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Heeren, A., Jones, P. J. &amp; McNally, R. J. Mapping network connectivity among symptoms of social anxiety and comorbid depression in people with social anxiety disorder.</w:t>
      </w:r>
      <w:r>
        <w:rPr>
          <w:rFonts w:hint="default" w:ascii="Times New Roman" w:hAnsi="Times New Roman" w:cs="Times New Roman"/>
          <w:i/>
          <w:iCs/>
          <w:sz w:val="18"/>
          <w:szCs w:val="18"/>
          <w:highlight w:val="none"/>
        </w:rPr>
        <w:t xml:space="preserve"> J. Affect. Disord.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228,</w:t>
      </w:r>
      <w:r>
        <w:rPr>
          <w:rFonts w:hint="default" w:ascii="Times New Roman" w:hAnsi="Times New Roman" w:cs="Times New Roman"/>
          <w:sz w:val="18"/>
          <w:szCs w:val="18"/>
          <w:highlight w:val="none"/>
        </w:rPr>
        <w:t xml:space="preserve"> 75–82 (2018). https://doi.org/10.1016/j.jad.2017.12.003</w:t>
      </w:r>
    </w:p>
    <w:p w14:paraId="24165AF8">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18. Epskamp, S. &amp; Fried, E. I. A tutorial on regularized partial correlation networks. </w:t>
      </w:r>
      <w:r>
        <w:rPr>
          <w:rFonts w:hint="default" w:ascii="Times New Roman" w:hAnsi="Times New Roman" w:cs="Times New Roman"/>
          <w:i/>
          <w:iCs/>
          <w:sz w:val="18"/>
          <w:szCs w:val="18"/>
          <w:highlight w:val="none"/>
        </w:rPr>
        <w:t>Psychol. Methods</w:t>
      </w:r>
      <w:r>
        <w:rPr>
          <w:rFonts w:hint="default" w:ascii="Times New Roman" w:hAnsi="Times New Roman" w:cs="Times New Roman"/>
          <w:b/>
          <w:bCs/>
          <w:i/>
          <w:iCs/>
          <w:sz w:val="18"/>
          <w:szCs w:val="18"/>
          <w:highlight w:val="none"/>
        </w:rPr>
        <w:t xml:space="preserve"> </w:t>
      </w:r>
      <w:r>
        <w:rPr>
          <w:rFonts w:hint="default" w:ascii="Times New Roman" w:hAnsi="Times New Roman" w:cs="Times New Roman"/>
          <w:b/>
          <w:bCs/>
          <w:sz w:val="18"/>
          <w:szCs w:val="18"/>
          <w:highlight w:val="none"/>
        </w:rPr>
        <w:t xml:space="preserve">23, </w:t>
      </w:r>
      <w:r>
        <w:rPr>
          <w:rFonts w:hint="default" w:ascii="Times New Roman" w:hAnsi="Times New Roman" w:cs="Times New Roman"/>
          <w:sz w:val="18"/>
          <w:szCs w:val="18"/>
          <w:highlight w:val="none"/>
        </w:rPr>
        <w:t>617–634 (2018).</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https://doi.org/10.1037/met0000167</w:t>
      </w:r>
    </w:p>
    <w:p w14:paraId="72CA3086">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19. Epskamp, S., Borsboom, D. &amp; Fried, E. I. Estimating psychological networks and their accuracy: a tutorial paper. </w:t>
      </w:r>
      <w:r>
        <w:rPr>
          <w:rFonts w:hint="default" w:ascii="Times New Roman" w:hAnsi="Times New Roman" w:cs="Times New Roman"/>
          <w:i/>
          <w:iCs/>
          <w:sz w:val="18"/>
          <w:szCs w:val="18"/>
          <w:highlight w:val="none"/>
        </w:rPr>
        <w:t>Behav. Res. Methods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50, </w:t>
      </w:r>
      <w:r>
        <w:rPr>
          <w:rFonts w:hint="default" w:ascii="Times New Roman" w:hAnsi="Times New Roman" w:cs="Times New Roman"/>
          <w:sz w:val="18"/>
          <w:szCs w:val="18"/>
          <w:highlight w:val="none"/>
        </w:rPr>
        <w:t>195–212 (2018). https://doi.org/10.3758/s13428-017-0862-1</w:t>
      </w:r>
    </w:p>
    <w:p w14:paraId="51B4784B">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20. Liu, Y. Y., Slotine, J. J. &amp; Barabási, A. L. Controllability of complex networks. </w:t>
      </w:r>
      <w:r>
        <w:rPr>
          <w:rFonts w:hint="default" w:ascii="Times New Roman" w:hAnsi="Times New Roman" w:cs="Times New Roman"/>
          <w:i/>
          <w:iCs/>
          <w:sz w:val="18"/>
          <w:szCs w:val="18"/>
          <w:highlight w:val="none"/>
        </w:rPr>
        <w:t>Nature</w:t>
      </w:r>
      <w:r>
        <w:rPr>
          <w:rFonts w:hint="default" w:ascii="Times New Roman" w:hAnsi="Times New Roman" w:cs="Times New Roman"/>
          <w:b/>
          <w:bCs/>
          <w:sz w:val="18"/>
          <w:szCs w:val="18"/>
          <w:highlight w:val="none"/>
        </w:rPr>
        <w:t xml:space="preserve"> 473, </w:t>
      </w:r>
      <w:r>
        <w:rPr>
          <w:rFonts w:hint="default" w:ascii="Times New Roman" w:hAnsi="Times New Roman" w:cs="Times New Roman"/>
          <w:sz w:val="18"/>
          <w:szCs w:val="18"/>
          <w:highlight w:val="none"/>
        </w:rPr>
        <w:t>167–173 (2011). https://doi.org/10.1038/nature10011</w:t>
      </w:r>
    </w:p>
    <w:p w14:paraId="1377B994">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21. Nacher, J. C. &amp; Akutsu, T. Minimum dominating set-based methods for analyzing biological networks.</w:t>
      </w:r>
      <w:r>
        <w:rPr>
          <w:rFonts w:hint="default" w:ascii="Times New Roman" w:hAnsi="Times New Roman" w:cs="Times New Roman"/>
          <w:i/>
          <w:iCs/>
          <w:sz w:val="18"/>
          <w:szCs w:val="18"/>
          <w:highlight w:val="none"/>
        </w:rPr>
        <w:t xml:space="preserve"> Methods </w:t>
      </w:r>
      <w:r>
        <w:rPr>
          <w:rFonts w:hint="default" w:ascii="Times New Roman" w:hAnsi="Times New Roman" w:cs="Times New Roman"/>
          <w:b/>
          <w:bCs/>
          <w:sz w:val="18"/>
          <w:szCs w:val="18"/>
          <w:highlight w:val="none"/>
        </w:rPr>
        <w:t>102,</w:t>
      </w:r>
      <w:r>
        <w:rPr>
          <w:rFonts w:hint="default" w:ascii="Times New Roman" w:hAnsi="Times New Roman" w:cs="Times New Roman"/>
          <w:sz w:val="18"/>
          <w:szCs w:val="18"/>
          <w:highlight w:val="none"/>
        </w:rPr>
        <w:t xml:space="preserve"> 57–63 (2016). https://doi.org/10.1016/j.ymeth.2015.12.017</w:t>
      </w:r>
    </w:p>
    <w:p w14:paraId="73171E8E">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22.</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Pan, C. et al. Module control of network analysis in psychopathology.</w:t>
      </w:r>
      <w:r>
        <w:rPr>
          <w:rFonts w:hint="default" w:ascii="Times New Roman" w:hAnsi="Times New Roman" w:cs="Times New Roman"/>
          <w:i/>
          <w:iCs/>
          <w:sz w:val="18"/>
          <w:szCs w:val="18"/>
          <w:highlight w:val="none"/>
        </w:rPr>
        <w:t xml:space="preserve"> iScience</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27, </w:t>
      </w:r>
      <w:r>
        <w:rPr>
          <w:rFonts w:hint="default" w:ascii="Times New Roman" w:hAnsi="Times New Roman" w:cs="Times New Roman"/>
          <w:sz w:val="18"/>
          <w:szCs w:val="18"/>
          <w:highlight w:val="none"/>
        </w:rPr>
        <w:t>110302 (2024). https://doi.org/10.1016/j.isci.2024.110302</w:t>
      </w:r>
    </w:p>
    <w:p w14:paraId="58FC2BD7">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23.</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 xml:space="preserve">Burger, J. et al. Reporting standards for psychological network analyses in cross-sectional data. Psychol. </w:t>
      </w:r>
      <w:r>
        <w:rPr>
          <w:rFonts w:hint="default" w:ascii="Times New Roman" w:hAnsi="Times New Roman" w:cs="Times New Roman"/>
          <w:i/>
          <w:iCs/>
          <w:sz w:val="18"/>
          <w:szCs w:val="18"/>
          <w:highlight w:val="none"/>
        </w:rPr>
        <w:t>Methods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28,</w:t>
      </w:r>
      <w:r>
        <w:rPr>
          <w:rFonts w:hint="default" w:ascii="Times New Roman" w:hAnsi="Times New Roman" w:cs="Times New Roman"/>
          <w:sz w:val="18"/>
          <w:szCs w:val="18"/>
          <w:highlight w:val="none"/>
        </w:rPr>
        <w:t xml:space="preserve"> 806–824 (2023). https://doi.org/10.1037/met0000471</w:t>
      </w:r>
    </w:p>
    <w:p w14:paraId="5D2AB37E">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24. Fried, E. I. &amp; Cramer, A. O. J. Moving forward: challenges and directions for psychopathological network theory and methodology.</w:t>
      </w:r>
      <w:r>
        <w:rPr>
          <w:rFonts w:hint="default" w:ascii="Times New Roman" w:hAnsi="Times New Roman" w:cs="Times New Roman"/>
          <w:i/>
          <w:iCs/>
          <w:sz w:val="18"/>
          <w:szCs w:val="18"/>
          <w:highlight w:val="none"/>
        </w:rPr>
        <w:t xml:space="preserve"> Perspect. Psychol. Sci.</w:t>
      </w:r>
      <w:r>
        <w:rPr>
          <w:rFonts w:hint="default" w:ascii="Times New Roman" w:hAnsi="Times New Roman" w:cs="Times New Roman"/>
          <w:b/>
          <w:bCs/>
          <w:sz w:val="18"/>
          <w:szCs w:val="18"/>
          <w:highlight w:val="none"/>
        </w:rPr>
        <w:t xml:space="preserve"> 12,</w:t>
      </w:r>
      <w:r>
        <w:rPr>
          <w:rFonts w:hint="default" w:ascii="Times New Roman" w:hAnsi="Times New Roman" w:cs="Times New Roman"/>
          <w:sz w:val="18"/>
          <w:szCs w:val="18"/>
          <w:highlight w:val="none"/>
        </w:rPr>
        <w:t xml:space="preserve"> 999–1020 (2017). https://doi.org/10.1177/1745691617705892</w:t>
      </w:r>
    </w:p>
    <w:p w14:paraId="4A34C130">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25. Lunansky, G. et al. Intervening on psychopathology networks: evaluating intervention targets through simulations. </w:t>
      </w:r>
      <w:r>
        <w:rPr>
          <w:rFonts w:hint="default" w:ascii="Times New Roman" w:hAnsi="Times New Roman" w:cs="Times New Roman"/>
          <w:i/>
          <w:iCs/>
          <w:sz w:val="18"/>
          <w:szCs w:val="18"/>
          <w:highlight w:val="none"/>
        </w:rPr>
        <w:t>Methods</w:t>
      </w:r>
      <w:r>
        <w:rPr>
          <w:rFonts w:hint="default" w:ascii="Times New Roman" w:hAnsi="Times New Roman" w:cs="Times New Roman"/>
          <w:b/>
          <w:bCs/>
          <w:sz w:val="18"/>
          <w:szCs w:val="18"/>
          <w:highlight w:val="none"/>
        </w:rPr>
        <w:t xml:space="preserve"> 204,</w:t>
      </w:r>
      <w:r>
        <w:rPr>
          <w:rFonts w:hint="default" w:ascii="Times New Roman" w:hAnsi="Times New Roman" w:cs="Times New Roman"/>
          <w:sz w:val="18"/>
          <w:szCs w:val="18"/>
          <w:highlight w:val="none"/>
        </w:rPr>
        <w:t xml:space="preserve"> 29–37 (2022). https://doi.org/10.1016/j.ymeth.2021.11.006</w:t>
      </w:r>
    </w:p>
    <w:p w14:paraId="64E4352A">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26. Ye, X., Fong, T. C. T. &amp; Yip, P. S. F. A cross-lagged panel network model on internet gaming disorder and depressive symptoms concerning preferences for game genres.</w:t>
      </w:r>
      <w:r>
        <w:rPr>
          <w:rFonts w:hint="default" w:ascii="Times New Roman" w:hAnsi="Times New Roman" w:cs="Times New Roman"/>
          <w:i/>
          <w:iCs/>
          <w:sz w:val="18"/>
          <w:szCs w:val="18"/>
          <w:highlight w:val="none"/>
        </w:rPr>
        <w:t xml:space="preserve"> J. Affect. Disord. </w:t>
      </w:r>
      <w:r>
        <w:rPr>
          <w:rFonts w:hint="default" w:ascii="Times New Roman" w:hAnsi="Times New Roman" w:cs="Times New Roman"/>
          <w:b/>
          <w:bCs/>
          <w:sz w:val="18"/>
          <w:szCs w:val="18"/>
          <w:highlight w:val="none"/>
        </w:rPr>
        <w:t>375,</w:t>
      </w:r>
      <w:r>
        <w:rPr>
          <w:rFonts w:hint="default" w:ascii="Times New Roman" w:hAnsi="Times New Roman" w:cs="Times New Roman"/>
          <w:sz w:val="18"/>
          <w:szCs w:val="18"/>
          <w:highlight w:val="none"/>
        </w:rPr>
        <w:t xml:space="preserve"> 27–34 (2025). https://doi.org/10.1016/j.jad.2025.01.006</w:t>
      </w:r>
    </w:p>
    <w:p w14:paraId="761F5D72">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27</w:t>
      </w:r>
      <w:r>
        <w:rPr>
          <w:rFonts w:hint="default" w:ascii="Times New Roman" w:hAnsi="Times New Roman" w:cs="Times New Roman"/>
          <w:sz w:val="18"/>
          <w:szCs w:val="18"/>
          <w:highlight w:val="none"/>
        </w:rPr>
        <w:t xml:space="preserve">. Zhang, R. et al. School-based Evaluation Advancing Response for Child Health (SEARCH): a mixed longitudinal cohort study from multifaceted perspectives in Jiangsu, China. </w:t>
      </w:r>
      <w:r>
        <w:rPr>
          <w:rFonts w:hint="default" w:ascii="Times New Roman" w:hAnsi="Times New Roman" w:cs="Times New Roman"/>
          <w:i/>
          <w:iCs/>
          <w:sz w:val="18"/>
          <w:szCs w:val="18"/>
          <w:highlight w:val="none"/>
        </w:rPr>
        <w:t>BMJ Ment. Health</w:t>
      </w:r>
      <w:r>
        <w:rPr>
          <w:rFonts w:hint="default" w:ascii="Times New Roman" w:hAnsi="Times New Roman" w:cs="Times New Roman"/>
          <w:b/>
          <w:bCs/>
          <w:i/>
          <w:iCs/>
          <w:sz w:val="18"/>
          <w:szCs w:val="18"/>
          <w:highlight w:val="none"/>
        </w:rPr>
        <w:t xml:space="preserve"> </w:t>
      </w:r>
      <w:r>
        <w:rPr>
          <w:rFonts w:hint="default" w:ascii="Times New Roman" w:hAnsi="Times New Roman" w:cs="Times New Roman"/>
          <w:b/>
          <w:bCs/>
          <w:sz w:val="18"/>
          <w:szCs w:val="18"/>
          <w:highlight w:val="none"/>
        </w:rPr>
        <w:t xml:space="preserve">26, </w:t>
      </w:r>
      <w:r>
        <w:rPr>
          <w:rFonts w:hint="default" w:ascii="Times New Roman" w:hAnsi="Times New Roman" w:cs="Times New Roman"/>
          <w:sz w:val="18"/>
          <w:szCs w:val="18"/>
          <w:highlight w:val="none"/>
        </w:rPr>
        <w:t xml:space="preserve">e300861 (2023). </w:t>
      </w:r>
      <w:r>
        <w:rPr>
          <w:rStyle w:val="146"/>
          <w:rFonts w:hint="default" w:ascii="Times New Roman" w:hAnsi="Times New Roman" w:cs="Times New Roman"/>
          <w:sz w:val="18"/>
          <w:szCs w:val="18"/>
          <w:highlight w:val="none"/>
        </w:rPr>
        <w:fldChar w:fldCharType="begin"/>
      </w:r>
      <w:r>
        <w:rPr>
          <w:rStyle w:val="146"/>
          <w:rFonts w:hint="default" w:ascii="Times New Roman" w:hAnsi="Times New Roman" w:cs="Times New Roman"/>
          <w:sz w:val="18"/>
          <w:szCs w:val="18"/>
          <w:highlight w:val="none"/>
        </w:rPr>
        <w:instrText xml:space="preserve"> HYPERLINK "https://doi.org/10.1136/bmjment-2023-300861" </w:instrText>
      </w:r>
      <w:r>
        <w:rPr>
          <w:rStyle w:val="146"/>
          <w:rFonts w:hint="default" w:ascii="Times New Roman" w:hAnsi="Times New Roman" w:cs="Times New Roman"/>
          <w:sz w:val="18"/>
          <w:szCs w:val="18"/>
          <w:highlight w:val="none"/>
        </w:rPr>
        <w:fldChar w:fldCharType="separate"/>
      </w:r>
      <w:r>
        <w:rPr>
          <w:rStyle w:val="146"/>
          <w:rFonts w:hint="default" w:ascii="Times New Roman" w:hAnsi="Times New Roman" w:cs="Times New Roman"/>
          <w:sz w:val="18"/>
          <w:szCs w:val="18"/>
          <w:highlight w:val="none"/>
        </w:rPr>
        <w:t>https://doi.org/10.1136/bmjment-2023-300861</w:t>
      </w:r>
      <w:r>
        <w:rPr>
          <w:rStyle w:val="146"/>
          <w:rFonts w:hint="default" w:ascii="Times New Roman" w:hAnsi="Times New Roman" w:cs="Times New Roman"/>
          <w:sz w:val="18"/>
          <w:szCs w:val="18"/>
          <w:highlight w:val="none"/>
        </w:rPr>
        <w:fldChar w:fldCharType="end"/>
      </w:r>
    </w:p>
    <w:p w14:paraId="21D86739">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w:t>
      </w:r>
      <w:r>
        <w:rPr>
          <w:rFonts w:hint="eastAsia" w:eastAsia="宋体" w:cs="Times New Roman"/>
          <w:sz w:val="18"/>
          <w:szCs w:val="18"/>
          <w:highlight w:val="none"/>
          <w:lang w:val="en-US" w:eastAsia="zh-CN"/>
        </w:rPr>
        <w:t>8</w:t>
      </w:r>
      <w:r>
        <w:rPr>
          <w:rFonts w:hint="default" w:ascii="Times New Roman" w:hAnsi="Times New Roman" w:cs="Times New Roman"/>
          <w:sz w:val="18"/>
          <w:szCs w:val="18"/>
          <w:highlight w:val="none"/>
        </w:rPr>
        <w:t>. Connelly, R. &amp; Platt, L. Cohort profile: UK Millennium Cohort Study (MCS).</w:t>
      </w:r>
      <w:r>
        <w:rPr>
          <w:rFonts w:hint="default" w:ascii="Times New Roman" w:hAnsi="Times New Roman" w:cs="Times New Roman"/>
          <w:i/>
          <w:iCs/>
          <w:sz w:val="18"/>
          <w:szCs w:val="18"/>
          <w:highlight w:val="none"/>
        </w:rPr>
        <w:t xml:space="preserve"> Int. J. Epidemiol. </w:t>
      </w:r>
      <w:r>
        <w:rPr>
          <w:rFonts w:hint="default" w:ascii="Times New Roman" w:hAnsi="Times New Roman" w:cs="Times New Roman"/>
          <w:b/>
          <w:bCs/>
          <w:sz w:val="18"/>
          <w:szCs w:val="18"/>
          <w:highlight w:val="none"/>
        </w:rPr>
        <w:t>43</w:t>
      </w:r>
      <w:r>
        <w:rPr>
          <w:rFonts w:hint="default" w:ascii="Times New Roman" w:hAnsi="Times New Roman" w:cs="Times New Roman"/>
          <w:sz w:val="18"/>
          <w:szCs w:val="18"/>
          <w:highlight w:val="none"/>
        </w:rPr>
        <w:t>, 1719–1725 (2014). https://doi.org/10.1093/ije/dyu001</w:t>
      </w:r>
    </w:p>
    <w:p w14:paraId="349A7F8E">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29</w:t>
      </w:r>
      <w:r>
        <w:rPr>
          <w:rFonts w:hint="default" w:ascii="Times New Roman" w:hAnsi="Times New Roman" w:cs="Times New Roman"/>
          <w:sz w:val="18"/>
          <w:szCs w:val="18"/>
          <w:highlight w:val="none"/>
        </w:rPr>
        <w:t>. Newson, J. &amp; Thiagarajan, T. Dynamic dataset of global population mental wellbeing. PsyArXiv (2021). https://doi.org/10.31234/osf.io/vtzne</w:t>
      </w:r>
    </w:p>
    <w:p w14:paraId="77F49DF7">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30</w:t>
      </w:r>
      <w:r>
        <w:rPr>
          <w:rFonts w:hint="default" w:ascii="Times New Roman" w:hAnsi="Times New Roman" w:cs="Times New Roman"/>
          <w:sz w:val="18"/>
          <w:szCs w:val="18"/>
          <w:highlight w:val="none"/>
        </w:rPr>
        <w:t>. Newson, J. J., Sukhoi, O. &amp; Thiagarajan, T. C. MHQ: constructing an aggregate metric of population mental wellbeing</w:t>
      </w:r>
      <w:r>
        <w:rPr>
          <w:rFonts w:hint="default" w:ascii="Times New Roman" w:hAnsi="Times New Roman" w:cs="Times New Roman"/>
          <w:i/>
          <w:iCs/>
          <w:sz w:val="18"/>
          <w:szCs w:val="18"/>
          <w:highlight w:val="none"/>
        </w:rPr>
        <w:t xml:space="preserve">. Popul. Health Metr. </w:t>
      </w:r>
      <w:r>
        <w:rPr>
          <w:rFonts w:hint="default" w:ascii="Times New Roman" w:hAnsi="Times New Roman" w:cs="Times New Roman"/>
          <w:b/>
          <w:bCs/>
          <w:sz w:val="18"/>
          <w:szCs w:val="18"/>
          <w:highlight w:val="none"/>
        </w:rPr>
        <w:t>22,</w:t>
      </w:r>
      <w:r>
        <w:rPr>
          <w:rFonts w:hint="default" w:ascii="Times New Roman" w:hAnsi="Times New Roman" w:cs="Times New Roman"/>
          <w:sz w:val="18"/>
          <w:szCs w:val="18"/>
          <w:highlight w:val="none"/>
        </w:rPr>
        <w:t xml:space="preserve"> 16 (2024). https://doi.org/10.1186/s12963-024-00336-y</w:t>
      </w:r>
    </w:p>
    <w:p w14:paraId="05FCBCD1">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31</w:t>
      </w:r>
      <w:r>
        <w:rPr>
          <w:rFonts w:hint="default" w:ascii="Times New Roman" w:hAnsi="Times New Roman" w:cs="Times New Roman"/>
          <w:sz w:val="18"/>
          <w:szCs w:val="18"/>
          <w:highlight w:val="none"/>
        </w:rPr>
        <w:t>.</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Traag, V.</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A., Waltman, L. &amp; van Eck, N.</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J. From Louvain to Leiden: guaranteeing well-connected communities.</w:t>
      </w:r>
      <w:r>
        <w:rPr>
          <w:rFonts w:hint="default" w:ascii="Times New Roman" w:hAnsi="Times New Roman" w:eastAsia="宋体" w:cs="Times New Roman"/>
          <w:i/>
          <w:iCs/>
          <w:sz w:val="18"/>
          <w:szCs w:val="18"/>
          <w:highlight w:val="none"/>
          <w:lang w:val="en-US" w:eastAsia="zh-CN"/>
        </w:rPr>
        <w:t xml:space="preserve"> </w:t>
      </w:r>
      <w:r>
        <w:rPr>
          <w:rFonts w:hint="default" w:ascii="Times New Roman" w:hAnsi="Times New Roman" w:cs="Times New Roman"/>
          <w:i/>
          <w:iCs/>
          <w:sz w:val="18"/>
          <w:szCs w:val="18"/>
          <w:highlight w:val="none"/>
        </w:rPr>
        <w:t>Sci. Rep.</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9,</w:t>
      </w:r>
      <w:r>
        <w:rPr>
          <w:rFonts w:hint="default" w:ascii="Times New Roman" w:hAnsi="Times New Roman" w:cs="Times New Roman"/>
          <w:sz w:val="18"/>
          <w:szCs w:val="18"/>
          <w:highlight w:val="none"/>
        </w:rPr>
        <w:t xml:space="preserve"> 5233 (2019). https://doi.org/10.1038/s41598-019-41695-z</w:t>
      </w:r>
    </w:p>
    <w:p w14:paraId="4BE45FDD">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32</w:t>
      </w:r>
      <w:r>
        <w:rPr>
          <w:rFonts w:hint="default" w:ascii="Times New Roman" w:hAnsi="Times New Roman" w:cs="Times New Roman"/>
          <w:sz w:val="18"/>
          <w:szCs w:val="18"/>
          <w:highlight w:val="none"/>
        </w:rPr>
        <w:t>.</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Jones, P. J., Ma, R. &amp; McNally, R. J. Bridge centrality: a network approach to understanding comorbidity.</w:t>
      </w:r>
      <w:r>
        <w:rPr>
          <w:rFonts w:hint="default" w:ascii="Times New Roman" w:hAnsi="Times New Roman" w:cs="Times New Roman"/>
          <w:i/>
          <w:iCs/>
          <w:sz w:val="18"/>
          <w:szCs w:val="18"/>
          <w:highlight w:val="none"/>
        </w:rPr>
        <w:t xml:space="preserve"> Multivariate Behav. Res.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56,</w:t>
      </w:r>
      <w:r>
        <w:rPr>
          <w:rFonts w:hint="default" w:ascii="Times New Roman" w:hAnsi="Times New Roman" w:cs="Times New Roman"/>
          <w:sz w:val="18"/>
          <w:szCs w:val="18"/>
          <w:highlight w:val="none"/>
        </w:rPr>
        <w:t xml:space="preserve"> 353–367 (2021). https://doi.org/10.1080/00273171.2019.1614898</w:t>
      </w:r>
    </w:p>
    <w:p w14:paraId="133E7522">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3</w:t>
      </w:r>
      <w:r>
        <w:rPr>
          <w:rFonts w:hint="default" w:ascii="Times New Roman" w:hAnsi="Times New Roman" w:cs="Times New Roman"/>
          <w:sz w:val="18"/>
          <w:szCs w:val="18"/>
          <w:highlight w:val="none"/>
        </w:rPr>
        <w:t>.</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 xml:space="preserve">Rodriguez-Ayllon, M. et al. Role of physical activity and sedentary behavior in the mental health of preschoolers, children and adolescents: a systematic review and meta-analysis. </w:t>
      </w:r>
      <w:r>
        <w:rPr>
          <w:rFonts w:hint="default" w:ascii="Times New Roman" w:hAnsi="Times New Roman" w:cs="Times New Roman"/>
          <w:i/>
          <w:iCs/>
          <w:sz w:val="18"/>
          <w:szCs w:val="18"/>
          <w:highlight w:val="none"/>
        </w:rPr>
        <w:t>Sports Med.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49, </w:t>
      </w:r>
      <w:r>
        <w:rPr>
          <w:rFonts w:hint="default" w:ascii="Times New Roman" w:hAnsi="Times New Roman" w:cs="Times New Roman"/>
          <w:sz w:val="18"/>
          <w:szCs w:val="18"/>
          <w:highlight w:val="none"/>
        </w:rPr>
        <w:t>1383–1410 (2019). https://doi.org/10.1007/s40279-019-01099-5</w:t>
      </w:r>
    </w:p>
    <w:p w14:paraId="7EFCA2EB">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4</w:t>
      </w:r>
      <w:r>
        <w:rPr>
          <w:rFonts w:hint="default" w:ascii="Times New Roman" w:hAnsi="Times New Roman" w:cs="Times New Roman"/>
          <w:sz w:val="18"/>
          <w:szCs w:val="18"/>
          <w:highlight w:val="none"/>
        </w:rPr>
        <w:t xml:space="preserve">. Orben, A. &amp; Przybylski, A. K. Teenage sleep and technology engagement across the week. </w:t>
      </w:r>
      <w:r>
        <w:rPr>
          <w:rFonts w:hint="default" w:ascii="Times New Roman" w:hAnsi="Times New Roman" w:cs="Times New Roman"/>
          <w:i/>
          <w:iCs/>
          <w:sz w:val="18"/>
          <w:szCs w:val="18"/>
          <w:highlight w:val="none"/>
        </w:rPr>
        <w:t>PeerJ</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8,</w:t>
      </w:r>
      <w:r>
        <w:rPr>
          <w:rFonts w:hint="default" w:ascii="Times New Roman" w:hAnsi="Times New Roman" w:cs="Times New Roman"/>
          <w:sz w:val="18"/>
          <w:szCs w:val="18"/>
          <w:highlight w:val="none"/>
        </w:rPr>
        <w:t xml:space="preserve"> e8427 (2020). https://doi.org/10.7717/peerj.8427</w:t>
      </w:r>
    </w:p>
    <w:p w14:paraId="5B9D664D">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5</w:t>
      </w:r>
      <w:r>
        <w:rPr>
          <w:rFonts w:hint="default" w:ascii="Times New Roman" w:hAnsi="Times New Roman" w:cs="Times New Roman"/>
          <w:sz w:val="18"/>
          <w:szCs w:val="18"/>
          <w:highlight w:val="none"/>
        </w:rPr>
        <w:t>. Nagata, J. M. et al. Screen time and mental health: a prospective analysis of the Adolescent Brain Cognitive Development (ABCD) Study.</w:t>
      </w:r>
      <w:r>
        <w:rPr>
          <w:rFonts w:hint="default" w:ascii="Times New Roman" w:hAnsi="Times New Roman" w:cs="Times New Roman"/>
          <w:i/>
          <w:iCs/>
          <w:sz w:val="18"/>
          <w:szCs w:val="18"/>
          <w:highlight w:val="none"/>
        </w:rPr>
        <w:t xml:space="preserve"> BMC Public Health</w:t>
      </w:r>
      <w:r>
        <w:rPr>
          <w:rFonts w:hint="default" w:ascii="Times New Roman" w:hAnsi="Times New Roman" w:cs="Times New Roman"/>
          <w:b/>
          <w:bCs/>
          <w:sz w:val="18"/>
          <w:szCs w:val="18"/>
          <w:highlight w:val="none"/>
        </w:rPr>
        <w:t xml:space="preserve"> 24,</w:t>
      </w:r>
      <w:r>
        <w:rPr>
          <w:rFonts w:hint="default" w:ascii="Times New Roman" w:hAnsi="Times New Roman" w:cs="Times New Roman"/>
          <w:sz w:val="18"/>
          <w:szCs w:val="18"/>
          <w:highlight w:val="none"/>
        </w:rPr>
        <w:t xml:space="preserve"> 2686 (2024). https://doi.org/10.1186/s12889-024-20102-x</w:t>
      </w:r>
    </w:p>
    <w:p w14:paraId="521DE1E2">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6</w:t>
      </w:r>
      <w:r>
        <w:rPr>
          <w:rFonts w:hint="default" w:ascii="Times New Roman" w:hAnsi="Times New Roman" w:cs="Times New Roman"/>
          <w:sz w:val="18"/>
          <w:szCs w:val="18"/>
          <w:highlight w:val="none"/>
        </w:rPr>
        <w:t>. Hamaker, E. L., Kuiper, R. M. &amp; Grasman, R. P. P. P. A critique of the cross-lagged panel model.</w:t>
      </w:r>
      <w:r>
        <w:rPr>
          <w:rFonts w:hint="default" w:ascii="Times New Roman" w:hAnsi="Times New Roman" w:cs="Times New Roman"/>
          <w:i/>
          <w:iCs/>
          <w:sz w:val="18"/>
          <w:szCs w:val="18"/>
          <w:highlight w:val="none"/>
        </w:rPr>
        <w:t xml:space="preserve"> Psychol. Methods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20,</w:t>
      </w:r>
      <w:r>
        <w:rPr>
          <w:rFonts w:hint="default" w:ascii="Times New Roman" w:hAnsi="Times New Roman" w:cs="Times New Roman"/>
          <w:sz w:val="18"/>
          <w:szCs w:val="18"/>
          <w:highlight w:val="none"/>
        </w:rPr>
        <w:t xml:space="preserve"> 102–116 (2015). https://doi.org/10.1037/a0038889</w:t>
      </w:r>
    </w:p>
    <w:p w14:paraId="3DAA76F2">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7</w:t>
      </w:r>
      <w:r>
        <w:rPr>
          <w:rFonts w:hint="default" w:ascii="Times New Roman" w:hAnsi="Times New Roman" w:cs="Times New Roman"/>
          <w:sz w:val="18"/>
          <w:szCs w:val="18"/>
          <w:highlight w:val="none"/>
        </w:rPr>
        <w:t xml:space="preserve">. Siepe, B. S. et al. Time-varying network models for the temporal dynamics of depressive symptomatology in patients with depressive disorders: secondary analysis of longitudinal observational data. </w:t>
      </w:r>
      <w:r>
        <w:rPr>
          <w:rFonts w:hint="default" w:ascii="Times New Roman" w:hAnsi="Times New Roman" w:cs="Times New Roman"/>
          <w:i/>
          <w:iCs/>
          <w:sz w:val="18"/>
          <w:szCs w:val="18"/>
          <w:highlight w:val="none"/>
        </w:rPr>
        <w:t>JMIR Ment. Health</w:t>
      </w:r>
      <w:r>
        <w:rPr>
          <w:rFonts w:hint="default" w:ascii="Times New Roman" w:hAnsi="Times New Roman" w:cs="Times New Roman"/>
          <w:b/>
          <w:bCs/>
          <w:sz w:val="18"/>
          <w:szCs w:val="18"/>
          <w:highlight w:val="none"/>
        </w:rPr>
        <w:t xml:space="preserve"> 11,</w:t>
      </w:r>
      <w:r>
        <w:rPr>
          <w:rFonts w:hint="default" w:ascii="Times New Roman" w:hAnsi="Times New Roman" w:cs="Times New Roman"/>
          <w:sz w:val="18"/>
          <w:szCs w:val="18"/>
          <w:highlight w:val="none"/>
        </w:rPr>
        <w:t xml:space="preserve"> e50136 (2024). https://doi.org/10.2196/50136</w:t>
      </w:r>
    </w:p>
    <w:p w14:paraId="3DC4DCFA">
      <w:pPr>
        <w:spacing w:after="80" w:line="276" w:lineRule="auto"/>
        <w:ind w:left="432" w:hanging="432"/>
        <w:rPr>
          <w:rFonts w:hint="default" w:ascii="Times New Roman" w:hAnsi="Times New Roman"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3</w:t>
      </w:r>
      <w:r>
        <w:rPr>
          <w:rFonts w:hint="eastAsia" w:eastAsia="宋体" w:cs="Times New Roman"/>
          <w:sz w:val="18"/>
          <w:szCs w:val="18"/>
          <w:highlight w:val="none"/>
          <w:lang w:val="en-US" w:eastAsia="zh-CN"/>
        </w:rPr>
        <w:t>8</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Mak, K. K. et al. Psychometric properties of the revised Chen Internet Addiction Scale (CIAS-R) in Chinese adolescents.</w:t>
      </w:r>
      <w:r>
        <w:rPr>
          <w:rFonts w:hint="default" w:ascii="Times New Roman" w:hAnsi="Times New Roman" w:cs="Times New Roman"/>
          <w:i/>
          <w:iCs/>
          <w:sz w:val="18"/>
          <w:szCs w:val="18"/>
          <w:highlight w:val="none"/>
        </w:rPr>
        <w:t xml:space="preserve"> J. Abnorm. Child Psychol.</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42, </w:t>
      </w:r>
      <w:r>
        <w:rPr>
          <w:rFonts w:hint="default" w:ascii="Times New Roman" w:hAnsi="Times New Roman" w:cs="Times New Roman"/>
          <w:sz w:val="18"/>
          <w:szCs w:val="18"/>
          <w:highlight w:val="none"/>
        </w:rPr>
        <w:t>1237–1245 (2014). https://doi.org/10.1007/s10802-014-9851-3</w:t>
      </w:r>
    </w:p>
    <w:p w14:paraId="410C64A3">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3</w:t>
      </w:r>
      <w:r>
        <w:rPr>
          <w:rFonts w:hint="eastAsia" w:eastAsia="宋体" w:cs="Times New Roman"/>
          <w:sz w:val="18"/>
          <w:szCs w:val="18"/>
          <w:highlight w:val="none"/>
          <w:lang w:val="en-US" w:eastAsia="zh-CN"/>
        </w:rPr>
        <w:t>9</w:t>
      </w:r>
      <w:r>
        <w:rPr>
          <w:rFonts w:hint="default" w:ascii="Times New Roman" w:hAnsi="Times New Roman" w:cs="Times New Roman"/>
          <w:sz w:val="18"/>
          <w:szCs w:val="18"/>
          <w:highlight w:val="none"/>
        </w:rPr>
        <w:t xml:space="preserve">. Henry, J. D. &amp; Crawford, J. R. The short-form version of the Depression Anxiety Stress Scales (DASS-21): construct validity and normative data in a large non-clinical sample. </w:t>
      </w:r>
      <w:r>
        <w:rPr>
          <w:rFonts w:hint="default" w:ascii="Times New Roman" w:hAnsi="Times New Roman" w:cs="Times New Roman"/>
          <w:i/>
          <w:iCs/>
          <w:sz w:val="18"/>
          <w:szCs w:val="18"/>
          <w:highlight w:val="none"/>
        </w:rPr>
        <w:t xml:space="preserve">Br. J. Clin. Psychol. </w:t>
      </w:r>
      <w:r>
        <w:rPr>
          <w:rFonts w:hint="default" w:ascii="Times New Roman" w:hAnsi="Times New Roman" w:cs="Times New Roman"/>
          <w:b/>
          <w:bCs/>
          <w:sz w:val="18"/>
          <w:szCs w:val="18"/>
          <w:highlight w:val="none"/>
        </w:rPr>
        <w:t>44,</w:t>
      </w:r>
      <w:r>
        <w:rPr>
          <w:rFonts w:hint="default" w:ascii="Times New Roman" w:hAnsi="Times New Roman" w:cs="Times New Roman"/>
          <w:sz w:val="18"/>
          <w:szCs w:val="18"/>
          <w:highlight w:val="none"/>
        </w:rPr>
        <w:t xml:space="preserve"> 227–239 (2005). https://doi.org/10.1348/014466505X29657</w:t>
      </w:r>
    </w:p>
    <w:p w14:paraId="137D9D61">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40</w:t>
      </w:r>
      <w:r>
        <w:rPr>
          <w:rFonts w:hint="default" w:ascii="Times New Roman" w:hAnsi="Times New Roman" w:cs="Times New Roman"/>
          <w:sz w:val="18"/>
          <w:szCs w:val="18"/>
          <w:highlight w:val="none"/>
        </w:rPr>
        <w:t>. Goodman, R. The Strengths and Difficulties Questionnaire: a research note.</w:t>
      </w:r>
      <w:r>
        <w:rPr>
          <w:rFonts w:hint="default" w:ascii="Times New Roman" w:hAnsi="Times New Roman" w:cs="Times New Roman"/>
          <w:i/>
          <w:iCs/>
          <w:sz w:val="18"/>
          <w:szCs w:val="18"/>
          <w:highlight w:val="none"/>
        </w:rPr>
        <w:t xml:space="preserve"> J. Child Psychol. Psychiatry</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38,</w:t>
      </w:r>
      <w:r>
        <w:rPr>
          <w:rFonts w:hint="default" w:ascii="Times New Roman" w:hAnsi="Times New Roman" w:cs="Times New Roman"/>
          <w:sz w:val="18"/>
          <w:szCs w:val="18"/>
          <w:highlight w:val="none"/>
        </w:rPr>
        <w:t xml:space="preserve"> 581–586 (1997). https://doi.org/10.1111/j.1469-7610.1997.tb01545.x</w:t>
      </w:r>
    </w:p>
    <w:p w14:paraId="550B55BF">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1</w:t>
      </w:r>
      <w:r>
        <w:rPr>
          <w:rFonts w:hint="default" w:ascii="Times New Roman" w:hAnsi="Times New Roman" w:cs="Times New Roman"/>
          <w:sz w:val="18"/>
          <w:szCs w:val="18"/>
          <w:highlight w:val="none"/>
        </w:rPr>
        <w:t xml:space="preserve">. Bastien, C. H., Vallières, A. &amp; Morin, C. M. Validation of the Insomnia Severity Index as an outcome measure for insomnia research. </w:t>
      </w:r>
      <w:r>
        <w:rPr>
          <w:rFonts w:hint="default" w:ascii="Times New Roman" w:hAnsi="Times New Roman" w:cs="Times New Roman"/>
          <w:i/>
          <w:iCs/>
          <w:sz w:val="18"/>
          <w:szCs w:val="18"/>
          <w:highlight w:val="none"/>
        </w:rPr>
        <w:t xml:space="preserve">Sleep Med. </w:t>
      </w:r>
      <w:r>
        <w:rPr>
          <w:rFonts w:hint="default" w:ascii="Times New Roman" w:hAnsi="Times New Roman" w:cs="Times New Roman"/>
          <w:b/>
          <w:bCs/>
          <w:sz w:val="18"/>
          <w:szCs w:val="18"/>
          <w:highlight w:val="none"/>
        </w:rPr>
        <w:t xml:space="preserve">2, </w:t>
      </w:r>
      <w:r>
        <w:rPr>
          <w:rFonts w:hint="default" w:ascii="Times New Roman" w:hAnsi="Times New Roman" w:cs="Times New Roman"/>
          <w:sz w:val="18"/>
          <w:szCs w:val="18"/>
          <w:highlight w:val="none"/>
        </w:rPr>
        <w:t xml:space="preserve">297–307 (2001). </w:t>
      </w:r>
      <w:r>
        <w:rPr>
          <w:rFonts w:hint="default" w:ascii="Times New Roman" w:hAnsi="Times New Roman" w:cs="Times New Roman"/>
          <w:sz w:val="18"/>
          <w:szCs w:val="18"/>
          <w:highlight w:val="none"/>
        </w:rPr>
        <w:fldChar w:fldCharType="begin"/>
      </w:r>
      <w:r>
        <w:rPr>
          <w:rFonts w:hint="default" w:ascii="Times New Roman" w:hAnsi="Times New Roman" w:cs="Times New Roman"/>
          <w:sz w:val="18"/>
          <w:szCs w:val="18"/>
          <w:highlight w:val="none"/>
        </w:rPr>
        <w:instrText xml:space="preserve"> HYPERLINK "https://doi.org/10.1016/S1389-9457(00)00065-4" </w:instrText>
      </w:r>
      <w:r>
        <w:rPr>
          <w:rFonts w:hint="default" w:ascii="Times New Roman" w:hAnsi="Times New Roman" w:cs="Times New Roman"/>
          <w:sz w:val="18"/>
          <w:szCs w:val="18"/>
          <w:highlight w:val="none"/>
        </w:rPr>
        <w:fldChar w:fldCharType="separate"/>
      </w:r>
      <w:r>
        <w:rPr>
          <w:rFonts w:hint="default" w:ascii="Times New Roman" w:hAnsi="Times New Roman" w:cs="Times New Roman"/>
          <w:sz w:val="18"/>
          <w:szCs w:val="18"/>
          <w:highlight w:val="none"/>
        </w:rPr>
        <w:t>https://doi.org/10.1016/S1389-9457(00)00065-4</w:t>
      </w:r>
      <w:r>
        <w:rPr>
          <w:rFonts w:hint="default" w:ascii="Times New Roman" w:hAnsi="Times New Roman" w:cs="Times New Roman"/>
          <w:sz w:val="18"/>
          <w:szCs w:val="18"/>
          <w:highlight w:val="none"/>
        </w:rPr>
        <w:fldChar w:fldCharType="end"/>
      </w:r>
    </w:p>
    <w:p w14:paraId="4C18D24A">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2</w:t>
      </w:r>
      <w:r>
        <w:rPr>
          <w:rFonts w:hint="default" w:ascii="Times New Roman" w:hAnsi="Times New Roman" w:eastAsia="宋体" w:cs="Times New Roman"/>
          <w:sz w:val="18"/>
          <w:szCs w:val="18"/>
          <w:highlight w:val="none"/>
          <w:lang w:val="en-US" w:eastAsia="zh-CN"/>
        </w:rPr>
        <w:t>. Schulte, E. M. &amp; Gearhardt, A. N. Development of the Modified Yale Food Addiction Scale Version 2.0.</w:t>
      </w:r>
      <w:r>
        <w:rPr>
          <w:rFonts w:hint="default" w:ascii="Times New Roman" w:hAnsi="Times New Roman" w:eastAsia="宋体" w:cs="Times New Roman"/>
          <w:i/>
          <w:iCs/>
          <w:sz w:val="18"/>
          <w:szCs w:val="18"/>
          <w:highlight w:val="none"/>
          <w:lang w:val="en-US" w:eastAsia="zh-CN"/>
        </w:rPr>
        <w:t xml:space="preserve"> Eur. Eat. Disord. Rev.</w:t>
      </w:r>
      <w:r>
        <w:rPr>
          <w:rFonts w:hint="default" w:ascii="Times New Roman" w:hAnsi="Times New Roman" w:eastAsia="宋体" w:cs="Times New Roman"/>
          <w:b/>
          <w:bCs/>
          <w:sz w:val="18"/>
          <w:szCs w:val="18"/>
          <w:highlight w:val="none"/>
          <w:lang w:val="en-US" w:eastAsia="zh-CN"/>
        </w:rPr>
        <w:t xml:space="preserve"> 25,</w:t>
      </w:r>
      <w:r>
        <w:rPr>
          <w:rFonts w:hint="default" w:ascii="Times New Roman" w:hAnsi="Times New Roman" w:eastAsia="宋体" w:cs="Times New Roman"/>
          <w:sz w:val="18"/>
          <w:szCs w:val="18"/>
          <w:highlight w:val="none"/>
          <w:lang w:val="en-US" w:eastAsia="zh-CN"/>
        </w:rPr>
        <w:t xml:space="preserve"> 302–308 (2017). https://doi.org/10.1002/erv.2515</w:t>
      </w:r>
    </w:p>
    <w:p w14:paraId="62BFF992">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3</w:t>
      </w:r>
      <w:r>
        <w:rPr>
          <w:rFonts w:hint="default" w:ascii="Times New Roman" w:hAnsi="Times New Roman" w:eastAsia="宋体" w:cs="Times New Roman"/>
          <w:sz w:val="18"/>
          <w:szCs w:val="18"/>
          <w:highlight w:val="none"/>
          <w:lang w:val="en-US" w:eastAsia="zh-CN"/>
        </w:rPr>
        <w:t>. Zhang, H. et al. Translation of the Chinese version of the modified Yale Food Addiction Scale 2.0 and its validation among college students.</w:t>
      </w:r>
      <w:r>
        <w:rPr>
          <w:rFonts w:hint="default" w:ascii="Times New Roman" w:hAnsi="Times New Roman" w:eastAsia="宋体" w:cs="Times New Roman"/>
          <w:i/>
          <w:iCs/>
          <w:sz w:val="18"/>
          <w:szCs w:val="18"/>
          <w:highlight w:val="none"/>
          <w:lang w:val="en-US" w:eastAsia="zh-CN"/>
        </w:rPr>
        <w:t xml:space="preserve"> J. Eat. Disord.</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eastAsia="宋体" w:cs="Times New Roman"/>
          <w:b/>
          <w:bCs/>
          <w:sz w:val="18"/>
          <w:szCs w:val="18"/>
          <w:highlight w:val="none"/>
          <w:lang w:val="en-US" w:eastAsia="zh-CN"/>
        </w:rPr>
        <w:t xml:space="preserve">9, </w:t>
      </w:r>
      <w:r>
        <w:rPr>
          <w:rFonts w:hint="default" w:ascii="Times New Roman" w:hAnsi="Times New Roman" w:eastAsia="宋体" w:cs="Times New Roman"/>
          <w:sz w:val="18"/>
          <w:szCs w:val="18"/>
          <w:highlight w:val="none"/>
          <w:lang w:val="en-US" w:eastAsia="zh-CN"/>
        </w:rPr>
        <w:t xml:space="preserve">116 (2021). </w:t>
      </w:r>
      <w:r>
        <w:rPr>
          <w:rFonts w:hint="default" w:ascii="Times New Roman" w:hAnsi="Times New Roman" w:cs="Times New Roman"/>
          <w:sz w:val="18"/>
          <w:szCs w:val="18"/>
          <w:highlight w:val="none"/>
          <w:lang w:val="en-US" w:eastAsia="zh-CN"/>
        </w:rPr>
        <w:fldChar w:fldCharType="begin"/>
      </w:r>
      <w:r>
        <w:rPr>
          <w:rFonts w:hint="default" w:ascii="Times New Roman" w:hAnsi="Times New Roman" w:cs="Times New Roman"/>
          <w:sz w:val="18"/>
          <w:szCs w:val="18"/>
          <w:highlight w:val="none"/>
          <w:lang w:val="en-US" w:eastAsia="zh-CN"/>
        </w:rPr>
        <w:instrText xml:space="preserve"> HYPERLINK "https://doi.org/10.1186/s40337-021-00471-z" </w:instrText>
      </w:r>
      <w:r>
        <w:rPr>
          <w:rFonts w:hint="default" w:ascii="Times New Roman" w:hAnsi="Times New Roman" w:cs="Times New Roman"/>
          <w:sz w:val="18"/>
          <w:szCs w:val="18"/>
          <w:highlight w:val="none"/>
          <w:lang w:val="en-US" w:eastAsia="zh-CN"/>
        </w:rPr>
        <w:fldChar w:fldCharType="separate"/>
      </w:r>
      <w:r>
        <w:rPr>
          <w:rFonts w:hint="default" w:ascii="Times New Roman" w:hAnsi="Times New Roman" w:cs="Times New Roman"/>
          <w:sz w:val="18"/>
          <w:szCs w:val="18"/>
          <w:highlight w:val="none"/>
          <w:lang w:val="en-US" w:eastAsia="zh-CN"/>
        </w:rPr>
        <w:t>https://doi.org/10.1186/s40337-021-00471-z</w:t>
      </w:r>
      <w:r>
        <w:rPr>
          <w:rFonts w:hint="default" w:ascii="Times New Roman" w:hAnsi="Times New Roman" w:cs="Times New Roman"/>
          <w:sz w:val="18"/>
          <w:szCs w:val="18"/>
          <w:highlight w:val="none"/>
          <w:lang w:val="en-US" w:eastAsia="zh-CN"/>
        </w:rPr>
        <w:fldChar w:fldCharType="end"/>
      </w:r>
    </w:p>
    <w:p w14:paraId="0AB14155">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4</w:t>
      </w:r>
      <w:r>
        <w:rPr>
          <w:rFonts w:hint="default" w:ascii="Times New Roman" w:hAnsi="Times New Roman" w:eastAsia="宋体" w:cs="Times New Roman"/>
          <w:sz w:val="18"/>
          <w:szCs w:val="18"/>
          <w:highlight w:val="none"/>
          <w:lang w:val="en-US" w:eastAsia="zh-CN"/>
        </w:rPr>
        <w:t>. Craig, C. L. et al. International physical activity questionnaire: 12-country reliability and validity.</w:t>
      </w:r>
      <w:r>
        <w:rPr>
          <w:rFonts w:hint="default" w:ascii="Times New Roman" w:hAnsi="Times New Roman" w:eastAsia="宋体" w:cs="Times New Roman"/>
          <w:i/>
          <w:iCs/>
          <w:sz w:val="18"/>
          <w:szCs w:val="18"/>
          <w:highlight w:val="none"/>
          <w:lang w:val="en-US" w:eastAsia="zh-CN"/>
        </w:rPr>
        <w:t xml:space="preserve"> Med. Sci. Sports Exerc.</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eastAsia="宋体" w:cs="Times New Roman"/>
          <w:b/>
          <w:bCs/>
          <w:sz w:val="18"/>
          <w:szCs w:val="18"/>
          <w:highlight w:val="none"/>
          <w:lang w:val="en-US" w:eastAsia="zh-CN"/>
        </w:rPr>
        <w:t>35,</w:t>
      </w:r>
      <w:r>
        <w:rPr>
          <w:rFonts w:hint="default" w:ascii="Times New Roman" w:hAnsi="Times New Roman" w:eastAsia="宋体" w:cs="Times New Roman"/>
          <w:sz w:val="18"/>
          <w:szCs w:val="18"/>
          <w:highlight w:val="none"/>
          <w:lang w:val="en-US" w:eastAsia="zh-CN"/>
        </w:rPr>
        <w:t xml:space="preserve"> 1381–1395 (2003). https://doi.org/10.1249/01.MSS.0000078924.61453.FB</w:t>
      </w:r>
    </w:p>
    <w:p w14:paraId="4FC82974">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5.</w:t>
      </w:r>
      <w:r>
        <w:rPr>
          <w:rFonts w:hint="default" w:ascii="Times New Roman" w:hAnsi="Times New Roman" w:eastAsia="宋体" w:cs="Times New Roman"/>
          <w:sz w:val="18"/>
          <w:szCs w:val="18"/>
          <w:highlight w:val="none"/>
          <w:lang w:val="en-US" w:eastAsia="zh-CN"/>
        </w:rPr>
        <w:t xml:space="preserve"> Wang, C., Chen, P. &amp; Zhuang, J. Validity and reliability of International Physical Activity Questionnaire–Short Form in Chinese youth. </w:t>
      </w:r>
      <w:r>
        <w:rPr>
          <w:rFonts w:hint="default" w:ascii="Times New Roman" w:hAnsi="Times New Roman" w:eastAsia="宋体" w:cs="Times New Roman"/>
          <w:i/>
          <w:iCs/>
          <w:sz w:val="18"/>
          <w:szCs w:val="18"/>
          <w:highlight w:val="none"/>
          <w:lang w:val="en-US" w:eastAsia="zh-CN"/>
        </w:rPr>
        <w:t>Res. Q. Exerc. Sport</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eastAsia="宋体" w:cs="Times New Roman"/>
          <w:b/>
          <w:bCs/>
          <w:sz w:val="18"/>
          <w:szCs w:val="18"/>
          <w:highlight w:val="none"/>
          <w:lang w:val="en-US" w:eastAsia="zh-CN"/>
        </w:rPr>
        <w:t xml:space="preserve">84, </w:t>
      </w:r>
      <w:r>
        <w:rPr>
          <w:rFonts w:hint="default" w:ascii="Times New Roman" w:hAnsi="Times New Roman" w:eastAsia="宋体" w:cs="Times New Roman"/>
          <w:sz w:val="18"/>
          <w:szCs w:val="18"/>
          <w:highlight w:val="none"/>
          <w:lang w:val="en-US" w:eastAsia="zh-CN"/>
        </w:rPr>
        <w:t xml:space="preserve">S80–S86 (2013). </w:t>
      </w:r>
      <w:r>
        <w:rPr>
          <w:rFonts w:hint="default" w:ascii="Times New Roman" w:hAnsi="Times New Roman" w:eastAsia="宋体" w:cs="Times New Roman"/>
          <w:sz w:val="18"/>
          <w:szCs w:val="18"/>
          <w:highlight w:val="none"/>
          <w:lang w:val="en-US" w:eastAsia="zh-CN"/>
        </w:rPr>
        <w:fldChar w:fldCharType="begin"/>
      </w:r>
      <w:r>
        <w:rPr>
          <w:rFonts w:hint="default" w:ascii="Times New Roman" w:hAnsi="Times New Roman" w:eastAsia="宋体" w:cs="Times New Roman"/>
          <w:sz w:val="18"/>
          <w:szCs w:val="18"/>
          <w:highlight w:val="none"/>
          <w:lang w:val="en-US" w:eastAsia="zh-CN"/>
        </w:rPr>
        <w:instrText xml:space="preserve"> HYPERLINK "https://doi.org/10.1080/02701367.2013.850991" </w:instrText>
      </w:r>
      <w:r>
        <w:rPr>
          <w:rFonts w:hint="default" w:ascii="Times New Roman" w:hAnsi="Times New Roman" w:eastAsia="宋体" w:cs="Times New Roman"/>
          <w:sz w:val="18"/>
          <w:szCs w:val="18"/>
          <w:highlight w:val="none"/>
          <w:lang w:val="en-US" w:eastAsia="zh-CN"/>
        </w:rPr>
        <w:fldChar w:fldCharType="separate"/>
      </w:r>
      <w:r>
        <w:rPr>
          <w:rFonts w:hint="default" w:ascii="Times New Roman" w:hAnsi="Times New Roman" w:eastAsia="宋体" w:cs="Times New Roman"/>
          <w:sz w:val="18"/>
          <w:szCs w:val="18"/>
          <w:highlight w:val="none"/>
          <w:lang w:val="en-US" w:eastAsia="zh-CN"/>
        </w:rPr>
        <w:t>https://doi.org/10.1080/02701367.2013.850991</w:t>
      </w:r>
      <w:r>
        <w:rPr>
          <w:rFonts w:hint="default" w:ascii="Times New Roman" w:hAnsi="Times New Roman" w:eastAsia="宋体" w:cs="Times New Roman"/>
          <w:sz w:val="18"/>
          <w:szCs w:val="18"/>
          <w:highlight w:val="none"/>
          <w:lang w:val="en-US" w:eastAsia="zh-CN"/>
        </w:rPr>
        <w:fldChar w:fldCharType="end"/>
      </w:r>
    </w:p>
    <w:p w14:paraId="675CB5B4">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6</w:t>
      </w:r>
      <w:r>
        <w:rPr>
          <w:rFonts w:hint="default" w:ascii="Times New Roman" w:hAnsi="Times New Roman" w:cs="Times New Roman"/>
          <w:sz w:val="18"/>
          <w:szCs w:val="18"/>
          <w:highlight w:val="none"/>
        </w:rPr>
        <w:t xml:space="preserve">. University of London, Institute of Education, Centre for Longitudinal Studies. Millennium Cohort Study: </w:t>
      </w:r>
      <w:r>
        <w:rPr>
          <w:rFonts w:hint="default" w:ascii="Times New Roman" w:hAnsi="Times New Roman" w:cs="Times New Roman"/>
          <w:i/>
          <w:iCs/>
          <w:sz w:val="18"/>
          <w:szCs w:val="18"/>
          <w:highlight w:val="none"/>
        </w:rPr>
        <w:t>Age 14, Sweep 6, 2015.</w:t>
      </w:r>
      <w:r>
        <w:rPr>
          <w:rFonts w:hint="default" w:ascii="Times New Roman" w:hAnsi="Times New Roman" w:cs="Times New Roman"/>
          <w:sz w:val="18"/>
          <w:szCs w:val="18"/>
          <w:highlight w:val="none"/>
        </w:rPr>
        <w:t xml:space="preserve"> 8th edn, UK Data Service, SN 8156 (2025). https://doi.org/10.5255/UKDA-SN-8156-8</w:t>
      </w:r>
    </w:p>
    <w:p w14:paraId="75D96DD2">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7</w:t>
      </w:r>
      <w:r>
        <w:rPr>
          <w:rFonts w:hint="default" w:ascii="Times New Roman" w:hAnsi="Times New Roman" w:cs="Times New Roman"/>
          <w:sz w:val="18"/>
          <w:szCs w:val="18"/>
          <w:highlight w:val="none"/>
        </w:rPr>
        <w:t xml:space="preserve">. University of London, Institute of Education, Centre for Longitudinal Studies. Millennium Cohort Study: </w:t>
      </w:r>
      <w:r>
        <w:rPr>
          <w:rFonts w:hint="default" w:ascii="Times New Roman" w:hAnsi="Times New Roman" w:cs="Times New Roman"/>
          <w:i/>
          <w:iCs/>
          <w:sz w:val="18"/>
          <w:szCs w:val="18"/>
          <w:highlight w:val="none"/>
        </w:rPr>
        <w:t>Age 17, Sweep 7, 2018.</w:t>
      </w:r>
      <w:r>
        <w:rPr>
          <w:rFonts w:hint="default" w:ascii="Times New Roman" w:hAnsi="Times New Roman" w:cs="Times New Roman"/>
          <w:sz w:val="18"/>
          <w:szCs w:val="18"/>
          <w:highlight w:val="none"/>
        </w:rPr>
        <w:t xml:space="preserve"> 2nd edn, UK Data Service, SN 8682 (2024). </w:t>
      </w:r>
      <w:r>
        <w:rPr>
          <w:rFonts w:hint="default" w:ascii="Times New Roman" w:hAnsi="Times New Roman" w:cs="Times New Roman"/>
          <w:sz w:val="18"/>
          <w:szCs w:val="18"/>
          <w:highlight w:val="none"/>
        </w:rPr>
        <w:fldChar w:fldCharType="begin"/>
      </w:r>
      <w:r>
        <w:rPr>
          <w:rFonts w:hint="default" w:ascii="Times New Roman" w:hAnsi="Times New Roman" w:cs="Times New Roman"/>
          <w:sz w:val="18"/>
          <w:szCs w:val="18"/>
          <w:highlight w:val="none"/>
        </w:rPr>
        <w:instrText xml:space="preserve"> HYPERLINK "https://doi.org/10.5255/UKDA-SN-8682-2" </w:instrText>
      </w:r>
      <w:r>
        <w:rPr>
          <w:rFonts w:hint="default" w:ascii="Times New Roman" w:hAnsi="Times New Roman" w:cs="Times New Roman"/>
          <w:sz w:val="18"/>
          <w:szCs w:val="18"/>
          <w:highlight w:val="none"/>
        </w:rPr>
        <w:fldChar w:fldCharType="separate"/>
      </w:r>
      <w:r>
        <w:rPr>
          <w:rFonts w:hint="default" w:ascii="Times New Roman" w:hAnsi="Times New Roman" w:cs="Times New Roman"/>
          <w:sz w:val="18"/>
          <w:szCs w:val="18"/>
          <w:highlight w:val="none"/>
        </w:rPr>
        <w:t>https://doi.org/10.5255/UKDA-SN-8682-2</w:t>
      </w:r>
      <w:r>
        <w:rPr>
          <w:rFonts w:hint="default" w:ascii="Times New Roman" w:hAnsi="Times New Roman" w:cs="Times New Roman"/>
          <w:sz w:val="18"/>
          <w:szCs w:val="18"/>
          <w:highlight w:val="none"/>
        </w:rPr>
        <w:fldChar w:fldCharType="end"/>
      </w:r>
    </w:p>
    <w:p w14:paraId="2EE5737A">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48</w:t>
      </w:r>
      <w:r>
        <w:rPr>
          <w:rFonts w:hint="default" w:ascii="Times New Roman" w:hAnsi="Times New Roman" w:cs="Times New Roman"/>
          <w:sz w:val="18"/>
          <w:szCs w:val="18"/>
          <w:highlight w:val="none"/>
        </w:rPr>
        <w:t>. Turner, N., Joinson, C., Peters, T. J., Wiles, N. &amp; Lewis, G. Validity of the Short Mood and Feelings Questionnaire in late adolescence.</w:t>
      </w:r>
      <w:r>
        <w:rPr>
          <w:rFonts w:hint="default" w:ascii="Times New Roman" w:hAnsi="Times New Roman" w:cs="Times New Roman"/>
          <w:i/>
          <w:iCs/>
          <w:sz w:val="18"/>
          <w:szCs w:val="18"/>
          <w:highlight w:val="none"/>
        </w:rPr>
        <w:t xml:space="preserve"> Psychol. Assess.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26, </w:t>
      </w:r>
      <w:r>
        <w:rPr>
          <w:rFonts w:hint="default" w:ascii="Times New Roman" w:hAnsi="Times New Roman" w:cs="Times New Roman"/>
          <w:sz w:val="18"/>
          <w:szCs w:val="18"/>
          <w:highlight w:val="none"/>
        </w:rPr>
        <w:t>752–762 (2014). https://doi.org/10.1037/a0036572</w:t>
      </w:r>
    </w:p>
    <w:p w14:paraId="338BE929">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49</w:t>
      </w:r>
      <w:r>
        <w:rPr>
          <w:rFonts w:hint="default" w:ascii="Times New Roman" w:hAnsi="Times New Roman" w:cs="Times New Roman"/>
          <w:sz w:val="18"/>
          <w:szCs w:val="18"/>
          <w:highlight w:val="none"/>
        </w:rPr>
        <w:t xml:space="preserve">. Kessler, R. C. et al. Short screening scales to monitor population prevalences and trends in non-specific psychological distress. </w:t>
      </w:r>
      <w:r>
        <w:rPr>
          <w:rFonts w:hint="default" w:ascii="Times New Roman" w:hAnsi="Times New Roman" w:cs="Times New Roman"/>
          <w:i/>
          <w:iCs/>
          <w:sz w:val="18"/>
          <w:szCs w:val="18"/>
          <w:highlight w:val="none"/>
        </w:rPr>
        <w:t>Psychol. Med.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32, </w:t>
      </w:r>
      <w:r>
        <w:rPr>
          <w:rFonts w:hint="default" w:ascii="Times New Roman" w:hAnsi="Times New Roman" w:cs="Times New Roman"/>
          <w:sz w:val="18"/>
          <w:szCs w:val="18"/>
          <w:highlight w:val="none"/>
        </w:rPr>
        <w:t xml:space="preserve">959–976 (2002). </w:t>
      </w:r>
      <w:r>
        <w:rPr>
          <w:rFonts w:hint="default" w:ascii="Times New Roman" w:hAnsi="Times New Roman" w:cs="Times New Roman"/>
          <w:sz w:val="18"/>
          <w:szCs w:val="18"/>
          <w:highlight w:val="none"/>
        </w:rPr>
        <w:fldChar w:fldCharType="begin"/>
      </w:r>
      <w:r>
        <w:rPr>
          <w:rFonts w:hint="default" w:ascii="Times New Roman" w:hAnsi="Times New Roman" w:cs="Times New Roman"/>
          <w:sz w:val="18"/>
          <w:szCs w:val="18"/>
          <w:highlight w:val="none"/>
        </w:rPr>
        <w:instrText xml:space="preserve"> HYPERLINK "https://doi.org/10.1017/S0033291702006074" </w:instrText>
      </w:r>
      <w:r>
        <w:rPr>
          <w:rFonts w:hint="default" w:ascii="Times New Roman" w:hAnsi="Times New Roman" w:cs="Times New Roman"/>
          <w:sz w:val="18"/>
          <w:szCs w:val="18"/>
          <w:highlight w:val="none"/>
        </w:rPr>
        <w:fldChar w:fldCharType="separate"/>
      </w:r>
      <w:r>
        <w:rPr>
          <w:rFonts w:hint="default" w:ascii="Times New Roman" w:hAnsi="Times New Roman" w:cs="Times New Roman"/>
          <w:sz w:val="18"/>
          <w:szCs w:val="18"/>
          <w:highlight w:val="none"/>
        </w:rPr>
        <w:t>https://doi.org/10.1017/S0033291702006074</w:t>
      </w:r>
      <w:r>
        <w:rPr>
          <w:rFonts w:hint="default" w:ascii="Times New Roman" w:hAnsi="Times New Roman" w:cs="Times New Roman"/>
          <w:sz w:val="18"/>
          <w:szCs w:val="18"/>
          <w:highlight w:val="none"/>
        </w:rPr>
        <w:fldChar w:fldCharType="end"/>
      </w:r>
    </w:p>
    <w:p w14:paraId="53A70B81">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50</w:t>
      </w:r>
      <w:r>
        <w:rPr>
          <w:rFonts w:hint="default" w:ascii="Times New Roman" w:hAnsi="Times New Roman" w:cs="Times New Roman"/>
          <w:sz w:val="18"/>
          <w:szCs w:val="18"/>
          <w:highlight w:val="none"/>
        </w:rPr>
        <w:t xml:space="preserve">. van Borkulo, C. D. et al. Comparing network structures on three aspects: a permutation test. </w:t>
      </w:r>
      <w:r>
        <w:rPr>
          <w:rFonts w:hint="default" w:ascii="Times New Roman" w:hAnsi="Times New Roman" w:cs="Times New Roman"/>
          <w:i/>
          <w:iCs/>
          <w:sz w:val="18"/>
          <w:szCs w:val="18"/>
          <w:highlight w:val="none"/>
        </w:rPr>
        <w:t>Psychol. Methods</w:t>
      </w:r>
      <w:r>
        <w:rPr>
          <w:rFonts w:hint="default" w:ascii="Times New Roman" w:hAnsi="Times New Roman" w:cs="Times New Roman"/>
          <w:b/>
          <w:bCs/>
          <w:sz w:val="18"/>
          <w:szCs w:val="18"/>
          <w:highlight w:val="none"/>
        </w:rPr>
        <w:t xml:space="preserve"> 28,</w:t>
      </w:r>
      <w:r>
        <w:rPr>
          <w:rFonts w:hint="default" w:ascii="Times New Roman" w:hAnsi="Times New Roman" w:cs="Times New Roman"/>
          <w:sz w:val="18"/>
          <w:szCs w:val="18"/>
          <w:highlight w:val="none"/>
        </w:rPr>
        <w:t xml:space="preserve"> 1273–1285 (2023). https://doi.org/10.1037/met0000476</w:t>
      </w:r>
    </w:p>
    <w:sectPr>
      <w:headerReference r:id="rId5" w:type="default"/>
      <w:footerReference r:id="rId6" w:type="default"/>
      <w:pgSz w:w="12240" w:h="15840"/>
      <w:pgMar w:top="1247" w:right="1417" w:bottom="1247" w:left="1417" w:header="567" w:footer="567" w:gutter="0"/>
      <w:lnNumType w:countBy="1" w:start="1" w:distance="360"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06A54C">
    <w:pPr>
      <w:pStyle w:val="24"/>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0A8F7">
    <w:pPr>
      <w:pStyle w:val="25"/>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BE2B5E0"/>
    <w:multiLevelType w:val="singleLevel"/>
    <w:tmpl w:val="0BE2B5E0"/>
    <w:lvl w:ilvl="0" w:tentative="0">
      <w:start w:val="1"/>
      <w:numFmt w:val="decimal"/>
      <w:suff w:val="space"/>
      <w:lvlText w:val="%1."/>
      <w:lvlJc w:val="left"/>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89118E"/>
    <w:rsid w:val="01B154AA"/>
    <w:rsid w:val="09865CBD"/>
    <w:rsid w:val="0D8D258C"/>
    <w:rsid w:val="270C05A6"/>
    <w:rsid w:val="28A10706"/>
    <w:rsid w:val="37FD7F7E"/>
    <w:rsid w:val="3F4D7CE9"/>
    <w:rsid w:val="41A5233F"/>
    <w:rsid w:val="42625A84"/>
    <w:rsid w:val="623A61DB"/>
    <w:rsid w:val="67B332B3"/>
    <w:rsid w:val="78847E4A"/>
    <w:rsid w:val="7B36763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jc w:val="both"/>
    </w:pPr>
    <w:rPr>
      <w:rFonts w:ascii="Times New Roman" w:hAnsi="Times New Roman" w:eastAsia="Times New Roman" w:cstheme="minorBidi"/>
      <w:sz w:val="22"/>
      <w:szCs w:val="22"/>
      <w:lang w:val="en-US" w:eastAsia="en-US" w:bidi="ar-SA"/>
    </w:rPr>
  </w:style>
  <w:style w:type="paragraph" w:styleId="3">
    <w:name w:val="heading 1"/>
    <w:basedOn w:val="1"/>
    <w:next w:val="1"/>
    <w:link w:val="139"/>
    <w:qFormat/>
    <w:uiPriority w:val="9"/>
    <w:pPr>
      <w:keepNext/>
      <w:keepLines/>
      <w:pageBreakBefore w:val="0"/>
      <w:spacing w:before="200" w:after="8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40"/>
    <w:unhideWhenUsed/>
    <w:qFormat/>
    <w:uiPriority w:val="9"/>
    <w:pPr>
      <w:keepNext/>
      <w:keepLines/>
      <w:spacing w:before="200" w:after="80"/>
      <w:outlineLvl w:val="1"/>
    </w:pPr>
    <w:rPr>
      <w:rFonts w:asciiTheme="majorHAnsi" w:hAnsiTheme="majorHAnsi" w:eastAsiaTheme="majorEastAsia" w:cstheme="majorBidi"/>
      <w:b/>
      <w:bCs/>
      <w:color w:val="000000"/>
      <w:sz w:val="24"/>
      <w:szCs w:val="26"/>
    </w:rPr>
  </w:style>
  <w:style w:type="paragraph" w:styleId="5">
    <w:name w:val="heading 3"/>
    <w:basedOn w:val="1"/>
    <w:next w:val="1"/>
    <w:link w:val="141"/>
    <w:unhideWhenUsed/>
    <w:qFormat/>
    <w:uiPriority w:val="9"/>
    <w:pPr>
      <w:keepNext/>
      <w:keepLines/>
      <w:spacing w:before="200" w:after="80"/>
      <w:outlineLvl w:val="2"/>
    </w:pPr>
    <w:rPr>
      <w:rFonts w:asciiTheme="majorHAnsi" w:hAnsiTheme="majorHAnsi" w:eastAsiaTheme="majorEastAsia" w:cstheme="majorBidi"/>
      <w:b/>
      <w:bCs/>
      <w:color w:val="000000"/>
      <w:sz w:val="22"/>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styleId="135">
    <w:name w:val="Hyperlink"/>
    <w:basedOn w:val="132"/>
    <w:semiHidden/>
    <w:unhideWhenUsed/>
    <w:uiPriority w:val="99"/>
    <w:rPr>
      <w:color w:val="0000FF"/>
      <w:u w:val="single"/>
    </w:rPr>
  </w:style>
  <w:style w:type="character" w:customStyle="1" w:styleId="136">
    <w:name w:val="Header Char"/>
    <w:basedOn w:val="132"/>
    <w:link w:val="25"/>
    <w:uiPriority w:val="99"/>
  </w:style>
  <w:style w:type="character" w:customStyle="1" w:styleId="137">
    <w:name w:val="Footer Char"/>
    <w:basedOn w:val="132"/>
    <w:link w:val="24"/>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2"/>
    <w:link w:val="19"/>
    <w:qFormat/>
    <w:uiPriority w:val="99"/>
  </w:style>
  <w:style w:type="character" w:customStyle="1" w:styleId="146">
    <w:name w:val="Body Text 2 Char"/>
    <w:basedOn w:val="132"/>
    <w:link w:val="28"/>
    <w:uiPriority w:val="99"/>
  </w:style>
  <w:style w:type="character" w:customStyle="1" w:styleId="147">
    <w:name w:val="Body Text 3 Char"/>
    <w:basedOn w:val="132"/>
    <w:link w:val="17"/>
    <w:qFormat/>
    <w:uiPriority w:val="99"/>
    <w:rPr>
      <w:sz w:val="16"/>
      <w:szCs w:val="16"/>
    </w:rPr>
  </w:style>
  <w:style w:type="character" w:customStyle="1" w:styleId="148">
    <w:name w:val="Macro Text Char"/>
    <w:basedOn w:val="132"/>
    <w:link w:val="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2"/>
    <w:link w:val="149"/>
    <w:uiPriority w:val="29"/>
    <w:rPr>
      <w:i/>
      <w:iCs/>
      <w:color w:val="000000" w:themeColor="text1"/>
      <w14:textFill>
        <w14:solidFill>
          <w14:schemeClr w14:val="tx1"/>
        </w14:solidFill>
      </w14:textFill>
    </w:rPr>
  </w:style>
  <w:style w:type="character" w:customStyle="1" w:styleId="151">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2"/>
    <w:link w:val="157"/>
    <w:uiPriority w:val="30"/>
    <w:rPr>
      <w:b/>
      <w:bCs/>
      <w:i/>
      <w:iCs/>
      <w:color w:val="4F81BD" w:themeColor="accent1"/>
      <w14:textFill>
        <w14:solidFill>
          <w14:schemeClr w14:val="accent1"/>
        </w14:solidFill>
      </w14:textFill>
    </w:rPr>
  </w:style>
  <w:style w:type="character" w:customStyle="1" w:styleId="159">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2"/>
    <w:qFormat/>
    <w:uiPriority w:val="21"/>
    <w:rPr>
      <w:b/>
      <w:bCs/>
      <w:i/>
      <w:iCs/>
      <w:color w:val="4F81BD" w:themeColor="accent1"/>
      <w14:textFill>
        <w14:solidFill>
          <w14:schemeClr w14:val="accent1"/>
        </w14:solidFill>
      </w14:textFill>
    </w:rPr>
  </w:style>
  <w:style w:type="character" w:customStyle="1" w:styleId="161">
    <w:name w:val="Subtle Reference"/>
    <w:basedOn w:val="132"/>
    <w:qFormat/>
    <w:uiPriority w:val="31"/>
    <w:rPr>
      <w:smallCaps/>
      <w:color w:val="C0504D" w:themeColor="accent2"/>
      <w:u w:val="single"/>
      <w14:textFill>
        <w14:solidFill>
          <w14:schemeClr w14:val="accent2"/>
        </w14:solidFill>
      </w14:textFill>
    </w:rPr>
  </w:style>
  <w:style w:type="character" w:customStyle="1" w:styleId="162">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2"/>
    <w:qFormat/>
    <w:uiPriority w:val="33"/>
    <w:rPr>
      <w:b/>
      <w:bCs/>
      <w:smallCaps/>
      <w:spacing w:val="5"/>
    </w:rPr>
  </w:style>
  <w:style w:type="paragraph" w:customStyle="1" w:styleId="164">
    <w:name w:val="TOC Heading"/>
    <w:basedOn w:val="3"/>
    <w:next w:val="1"/>
    <w:semiHidden/>
    <w:unhideWhenUsed/>
    <w:qFormat/>
    <w:uiPriority w:val="39"/>
    <w:pPr>
      <w:outlineLvl w:val="9"/>
    </w:pPr>
  </w:style>
  <w:style w:type="paragraph" w:customStyle="1" w:styleId="165">
    <w:name w:val="Figure Legend"/>
    <w:uiPriority w:val="0"/>
    <w:pPr>
      <w:keepLines/>
      <w:spacing w:before="100" w:after="160" w:line="276" w:lineRule="auto"/>
    </w:pPr>
    <w:rPr>
      <w:rFonts w:ascii="Times New Roman" w:hAnsi="Times New Roman" w:eastAsia="Times New Roman" w:cstheme="minorBidi"/>
      <w:sz w:val="18"/>
      <w:szCs w:val="22"/>
      <w:lang w:val="en-US" w:eastAsia="en-US" w:bidi="ar-SA"/>
    </w:rPr>
  </w:style>
  <w:style w:type="paragraph" w:customStyle="1" w:styleId="166">
    <w:name w:val="Reference"/>
    <w:uiPriority w:val="0"/>
    <w:pPr>
      <w:spacing w:after="40" w:line="240" w:lineRule="auto"/>
      <w:ind w:left="312" w:hanging="312"/>
    </w:pPr>
    <w:rPr>
      <w:rFonts w:ascii="Times New Roman" w:hAnsi="Times New Roman" w:eastAsia="Times New Roman" w:cstheme="minorBidi"/>
      <w:sz w:val="18"/>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6969</Words>
  <Characters>45683</Characters>
  <Lines>0</Lines>
  <Paragraphs>0</Paragraphs>
  <TotalTime>237</TotalTime>
  <ScaleCrop>false</ScaleCrop>
  <LinksUpToDate>false</LinksUpToDate>
  <CharactersWithSpaces>52517</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Jing Zhang; Ling Zhang; Xizhe Zhang</dc:creator>
  <cp:keywords>adolescent mental health; digital use; social media; cross-lagged panel network</cp:keywords>
  <cp:lastModifiedBy>Ling^O^</cp:lastModifiedBy>
  <dcterms:modified xsi:type="dcterms:W3CDTF">2026-08-27T13:53:13Z</dcterms:modified>
  <dc:title>Emotional distress drives change in adolescent problematic digital use and related symptoms</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81BC2DCA29A5448BADF612300806CD28_13</vt:lpwstr>
  </property>
  <property fmtid="{D5CDD505-2E9C-101B-9397-08002B2CF9AE}" pid="4" name="KSOTemplateDocerSaveRecord">
    <vt:lpwstr>eyJoZGlkIjoiZjc4YjlhOTM5MTU2Zjg5MGFjODRlMDhhMzNkODUxZDIiLCJ1c2VySWQiOiI4OTQyNDAyOTcifQ==</vt:lpwstr>
  </property>
</Properties>
</file>