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5F9295">
      <w:pPr>
        <w:spacing w:after="160"/>
        <w:jc w:val="center"/>
        <w:rPr>
          <w:rFonts w:hint="default" w:ascii="Arial" w:hAnsi="Arial" w:cs="Arial"/>
          <w:sz w:val="36"/>
          <w:szCs w:val="36"/>
          <w:highlight w:val="none"/>
        </w:rPr>
      </w:pPr>
      <w:r>
        <w:rPr>
          <w:rFonts w:hint="default" w:ascii="Arial" w:hAnsi="Arial" w:cs="Arial"/>
          <w:b/>
          <w:sz w:val="36"/>
          <w:szCs w:val="36"/>
          <w:highlight w:val="none"/>
        </w:rPr>
        <w:t>Emotional distress predicts later problematic digital use in adolescents</w:t>
      </w:r>
    </w:p>
    <w:p w14:paraId="7882169F">
      <w:pPr>
        <w:keepNext w:val="0"/>
        <w:keepLines w:val="0"/>
        <w:pageBreakBefore w:val="0"/>
        <w:widowControl/>
        <w:kinsoku/>
        <w:wordWrap/>
        <w:overflowPunct/>
        <w:topLinePunct w:val="0"/>
        <w:autoSpaceDE/>
        <w:autoSpaceDN/>
        <w:bidi w:val="0"/>
        <w:adjustRightInd/>
        <w:snapToGrid/>
        <w:spacing w:after="60"/>
        <w:jc w:val="center"/>
        <w:textAlignment w:val="auto"/>
        <w:rPr>
          <w:rFonts w:hint="default" w:ascii="Arial" w:hAnsi="Arial" w:cs="Arial"/>
          <w:highlight w:val="none"/>
          <w:lang w:val="en-US"/>
        </w:rPr>
      </w:pPr>
      <w:r>
        <w:rPr>
          <w:rFonts w:hint="default" w:ascii="Arial" w:hAnsi="Arial" w:cs="Arial"/>
          <w:sz w:val="22"/>
          <w:highlight w:val="none"/>
        </w:rPr>
        <w:t>Jing Zhang</w:t>
      </w:r>
      <w:r>
        <w:rPr>
          <w:rFonts w:hint="default" w:ascii="Arial" w:hAnsi="Arial" w:eastAsia="宋体" w:cs="Arial"/>
          <w:sz w:val="22"/>
          <w:highlight w:val="none"/>
          <w:vertAlign w:val="superscript"/>
          <w:lang w:val="en-US" w:eastAsia="zh-CN"/>
        </w:rPr>
        <w:t>1</w:t>
      </w:r>
      <w:r>
        <w:rPr>
          <w:rFonts w:hint="default" w:ascii="Arial" w:hAnsi="Arial" w:cs="Arial"/>
          <w:sz w:val="22"/>
          <w:highlight w:val="none"/>
        </w:rPr>
        <w:t>, Ling Zhang</w:t>
      </w:r>
      <w:r>
        <w:rPr>
          <w:rFonts w:hint="default" w:ascii="Arial" w:hAnsi="Arial" w:eastAsia="宋体" w:cs="Arial"/>
          <w:sz w:val="22"/>
          <w:highlight w:val="none"/>
          <w:vertAlign w:val="superscript"/>
          <w:lang w:val="en-US" w:eastAsia="zh-CN"/>
        </w:rPr>
        <w:t>2</w:t>
      </w:r>
      <w:r>
        <w:rPr>
          <w:rFonts w:hint="default" w:ascii="Arial" w:hAnsi="Arial" w:cs="Arial"/>
          <w:sz w:val="22"/>
          <w:highlight w:val="none"/>
        </w:rPr>
        <w:t>, Xizhe Zhang</w:t>
      </w:r>
      <w:r>
        <w:rPr>
          <w:rFonts w:hint="default" w:ascii="Arial" w:hAnsi="Arial" w:eastAsia="宋体" w:cs="Arial"/>
          <w:sz w:val="22"/>
          <w:highlight w:val="none"/>
          <w:vertAlign w:val="superscript"/>
          <w:lang w:val="en-US" w:eastAsia="zh-CN"/>
        </w:rPr>
        <w:t>1,2,3</w:t>
      </w:r>
      <w:r>
        <w:rPr>
          <w:rFonts w:hint="eastAsia" w:ascii="Arial" w:hAnsi="Arial" w:eastAsia="宋体" w:cs="Arial"/>
          <w:sz w:val="22"/>
          <w:highlight w:val="none"/>
          <w:vertAlign w:val="superscript"/>
          <w:lang w:val="en-US" w:eastAsia="zh-CN"/>
        </w:rPr>
        <w:t>*</w:t>
      </w:r>
    </w:p>
    <w:p w14:paraId="504EDC10">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Arial" w:hAnsi="Arial" w:cs="Arial"/>
          <w:highlight w:val="none"/>
        </w:rPr>
      </w:pPr>
      <w:r>
        <w:rPr>
          <w:rFonts w:hint="eastAsia" w:ascii="Arial" w:hAnsi="Arial" w:eastAsia="宋体" w:cs="Arial"/>
          <w:sz w:val="19"/>
          <w:highlight w:val="none"/>
          <w:vertAlign w:val="superscript"/>
          <w:lang w:val="en-US" w:eastAsia="zh-CN"/>
        </w:rPr>
        <w:t xml:space="preserve">1 </w:t>
      </w:r>
      <w:r>
        <w:rPr>
          <w:rFonts w:hint="default" w:ascii="Arial" w:hAnsi="Arial" w:cs="Arial"/>
          <w:sz w:val="19"/>
          <w:highlight w:val="none"/>
        </w:rPr>
        <w:t>Nanjing Children's Hospital, Nanjing Medical University, Nanjing, China</w:t>
      </w:r>
    </w:p>
    <w:p w14:paraId="288C8C6A">
      <w:pPr>
        <w:keepNext w:val="0"/>
        <w:keepLines w:val="0"/>
        <w:pageBreakBefore w:val="0"/>
        <w:widowControl/>
        <w:kinsoku/>
        <w:wordWrap/>
        <w:overflowPunct/>
        <w:topLinePunct w:val="0"/>
        <w:autoSpaceDE/>
        <w:autoSpaceDN/>
        <w:bidi w:val="0"/>
        <w:adjustRightInd/>
        <w:snapToGrid/>
        <w:spacing w:after="0"/>
        <w:jc w:val="center"/>
        <w:textAlignment w:val="auto"/>
        <w:rPr>
          <w:rFonts w:hint="eastAsia" w:ascii="Arial" w:hAnsi="Arial" w:eastAsia="宋体" w:cs="Arial"/>
          <w:sz w:val="19"/>
          <w:highlight w:val="none"/>
          <w:lang w:val="en-US" w:eastAsia="zh-CN"/>
        </w:rPr>
      </w:pPr>
      <w:r>
        <w:rPr>
          <w:rFonts w:hint="eastAsia" w:ascii="Arial" w:hAnsi="Arial" w:eastAsia="宋体" w:cs="Arial"/>
          <w:sz w:val="19"/>
          <w:highlight w:val="none"/>
          <w:vertAlign w:val="superscript"/>
          <w:lang w:val="en-US" w:eastAsia="zh-CN"/>
        </w:rPr>
        <w:t>2</w:t>
      </w:r>
      <w:r>
        <w:rPr>
          <w:rFonts w:hint="default" w:ascii="Arial" w:hAnsi="Arial" w:cs="Arial"/>
          <w:sz w:val="19"/>
          <w:highlight w:val="none"/>
          <w:vertAlign w:val="superscript"/>
        </w:rPr>
        <w:t xml:space="preserve"> </w:t>
      </w:r>
      <w:r>
        <w:rPr>
          <w:rFonts w:hint="default" w:ascii="Arial" w:hAnsi="Arial" w:cs="Arial"/>
          <w:sz w:val="19"/>
          <w:highlight w:val="none"/>
        </w:rPr>
        <w:t>S</w:t>
      </w:r>
      <w:r>
        <w:rPr>
          <w:rFonts w:hint="eastAsia" w:ascii="Arial" w:hAnsi="Arial" w:eastAsia="宋体" w:cs="Arial"/>
          <w:sz w:val="19"/>
          <w:highlight w:val="none"/>
          <w:lang w:val="en-US" w:eastAsia="zh-CN"/>
        </w:rPr>
        <w:t>c</w:t>
      </w:r>
      <w:r>
        <w:rPr>
          <w:rFonts w:hint="default" w:ascii="Arial" w:hAnsi="Arial" w:cs="Arial"/>
          <w:sz w:val="19"/>
          <w:highlight w:val="none"/>
        </w:rPr>
        <w:t>hool of Biomedical Engineering and Informatics, Nanjing Medical University, Nanjing, Chin</w:t>
      </w:r>
      <w:r>
        <w:rPr>
          <w:rFonts w:hint="eastAsia" w:ascii="Arial" w:hAnsi="Arial" w:eastAsia="宋体" w:cs="Arial"/>
          <w:sz w:val="19"/>
          <w:highlight w:val="none"/>
          <w:lang w:val="en-US" w:eastAsia="zh-CN"/>
        </w:rPr>
        <w:t>a</w:t>
      </w:r>
    </w:p>
    <w:p w14:paraId="248F792B">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Arial" w:hAnsi="Arial" w:cs="Arial"/>
          <w:sz w:val="19"/>
          <w:highlight w:val="none"/>
        </w:rPr>
      </w:pPr>
      <w:r>
        <w:rPr>
          <w:rFonts w:hint="default" w:ascii="Arial" w:hAnsi="Arial" w:eastAsia="宋体" w:cs="Arial"/>
          <w:sz w:val="19"/>
          <w:highlight w:val="none"/>
          <w:vertAlign w:val="superscript"/>
          <w:lang w:val="en-US" w:eastAsia="zh-CN"/>
        </w:rPr>
        <w:t>3</w:t>
      </w:r>
      <w:r>
        <w:rPr>
          <w:rFonts w:hint="default" w:ascii="Arial" w:hAnsi="Arial" w:cs="Arial"/>
          <w:sz w:val="19"/>
          <w:highlight w:val="none"/>
        </w:rPr>
        <w:t xml:space="preserve"> Nanjing Brain Hospital</w:t>
      </w:r>
      <w:r>
        <w:rPr>
          <w:rFonts w:hint="eastAsia" w:ascii="Arial" w:hAnsi="Arial" w:eastAsia="宋体" w:cs="Arial"/>
          <w:sz w:val="19"/>
          <w:highlight w:val="none"/>
          <w:lang w:val="en-US" w:eastAsia="zh-CN"/>
        </w:rPr>
        <w:t xml:space="preserve">, </w:t>
      </w:r>
      <w:r>
        <w:rPr>
          <w:rFonts w:hint="default" w:ascii="Arial" w:hAnsi="Arial" w:cs="Arial"/>
          <w:sz w:val="19"/>
          <w:highlight w:val="none"/>
        </w:rPr>
        <w:t>Nanjing Medical University, Nanjing, China</w:t>
      </w:r>
    </w:p>
    <w:p w14:paraId="4858727D">
      <w:pPr>
        <w:spacing w:after="0"/>
        <w:jc w:val="center"/>
        <w:rPr>
          <w:rFonts w:hint="default" w:ascii="Arial" w:hAnsi="Arial" w:cs="Arial"/>
          <w:highlight w:val="none"/>
        </w:rPr>
      </w:pPr>
      <w:r>
        <w:rPr>
          <w:rFonts w:hint="eastAsia" w:ascii="Arial" w:hAnsi="Arial" w:eastAsia="宋体" w:cs="Arial"/>
          <w:sz w:val="19"/>
          <w:highlight w:val="none"/>
          <w:lang w:val="en-US" w:eastAsia="zh-CN"/>
        </w:rPr>
        <w:t>*</w:t>
      </w:r>
      <w:r>
        <w:rPr>
          <w:rFonts w:hint="default" w:ascii="Arial" w:hAnsi="Arial" w:cs="Arial"/>
          <w:sz w:val="19"/>
          <w:highlight w:val="none"/>
        </w:rPr>
        <w:t xml:space="preserve"> Correspondence: Xizhe Zhang, zhangxizhe@njmu.edu.cn</w:t>
      </w:r>
    </w:p>
    <w:p w14:paraId="07145061">
      <w:pPr>
        <w:spacing w:before="100" w:after="200"/>
        <w:jc w:val="center"/>
        <w:rPr>
          <w:rFonts w:hint="default" w:ascii="Arial" w:hAnsi="Arial" w:cs="Arial"/>
          <w:highlight w:val="none"/>
        </w:rPr>
      </w:pPr>
      <w:r>
        <w:rPr>
          <w:rFonts w:hint="default" w:ascii="Arial" w:hAnsi="Arial" w:cs="Arial"/>
          <w:i/>
          <w:sz w:val="19"/>
          <w:highlight w:val="none"/>
        </w:rPr>
        <w:t>Running title: Temporal ordering of adolescent digital use</w:t>
      </w:r>
    </w:p>
    <w:p w14:paraId="218D32AA">
      <w:pPr>
        <w:pStyle w:val="3"/>
        <w:keepNext/>
        <w:rPr>
          <w:highlight w:val="none"/>
        </w:rPr>
      </w:pPr>
      <w:r>
        <w:rPr>
          <w:highlight w:val="none"/>
        </w:rPr>
        <w:t>Abstract</w:t>
      </w:r>
    </w:p>
    <w:p w14:paraId="432476C8">
      <w:pPr>
        <w:spacing w:after="200"/>
        <w:rPr>
          <w:rFonts w:hint="eastAsia"/>
          <w:highlight w:val="none"/>
        </w:rPr>
      </w:pPr>
      <w:r>
        <w:rPr>
          <w:rFonts w:hint="eastAsia"/>
          <w:highlight w:val="none"/>
        </w:rPr>
        <w:t>Adolescent digital use is associated with psychological difficulties, but prospective relationships may differ between symptoms of problematic use and usage duration. We analysed two-wave data from 6,092 adolescents in the Chinese SEARCH cohort followed for approximately one year and 7,838 UK Millennium Cohort Study participants followed from ages 14 to 17. Cross-lagged panel networks accounted for baseline scores across six domains within each cohort. In SEARCH, emotional distress predicted later problematic digital use (β = 0.160); the reciprocal association was also positive (β = 0.079). In the UK cohort, hyperactivity/inattention and conduct problems positively predicted subsequent social media use and gaming, whereas internalising distress showed small negative coefficients for both behaviours. These findings identify different psychological domains associated with later digital use across cohorts and support distinguishing symptoms of problematic use from time spent on social media or gaming.</w:t>
      </w:r>
    </w:p>
    <w:p w14:paraId="2E3C8439">
      <w:pPr>
        <w:spacing w:after="200"/>
        <w:rPr>
          <w:b w:val="0"/>
          <w:bCs/>
          <w:highlight w:val="none"/>
        </w:rPr>
      </w:pPr>
      <w:r>
        <w:rPr>
          <w:b/>
          <w:highlight w:val="none"/>
        </w:rPr>
        <w:t xml:space="preserve">Keywords: </w:t>
      </w:r>
      <w:r>
        <w:rPr>
          <w:rFonts w:hint="eastAsia"/>
          <w:b w:val="0"/>
          <w:bCs/>
          <w:highlight w:val="none"/>
        </w:rPr>
        <w:t>adolescent mental health; emotional distress; problematic digital use; social media use; cross-lagged panel network; network control</w:t>
      </w:r>
    </w:p>
    <w:p w14:paraId="43F24CD3">
      <w:pPr>
        <w:pStyle w:val="3"/>
        <w:keepNext/>
        <w:rPr>
          <w:highlight w:val="none"/>
        </w:rPr>
      </w:pPr>
      <w:r>
        <w:rPr>
          <w:highlight w:val="none"/>
        </w:rPr>
        <w:t>Introduction</w:t>
      </w:r>
    </w:p>
    <w:p w14:paraId="3A786CD0">
      <w:pPr>
        <w:rPr>
          <w:rFonts w:hint="eastAsia"/>
          <w:highlight w:val="none"/>
        </w:rPr>
      </w:pPr>
      <w:r>
        <w:rPr>
          <w:rFonts w:hint="eastAsia" w:eastAsia="宋体"/>
          <w:highlight w:val="none"/>
          <w:lang w:val="en-US" w:eastAsia="zh-CN"/>
        </w:rPr>
        <w:t>M</w:t>
      </w:r>
      <w:r>
        <w:rPr>
          <w:rFonts w:hint="eastAsia" w:eastAsia="宋体"/>
          <w:highlight w:val="none"/>
          <w:lang w:eastAsia="zh-CN"/>
        </w:rPr>
        <w:t>ental health difficulties</w:t>
      </w:r>
      <w:r>
        <w:rPr>
          <w:rFonts w:hint="eastAsia"/>
          <w:highlight w:val="none"/>
        </w:rPr>
        <w:t xml:space="preserve"> are widespread among young people</w:t>
      </w:r>
      <w:r>
        <w:rPr>
          <w:rFonts w:hint="eastAsia" w:eastAsia="宋体"/>
          <w:highlight w:val="none"/>
          <w:vertAlign w:val="superscript"/>
          <w:lang w:val="en-US" w:eastAsia="zh-CN"/>
        </w:rPr>
        <w:t>1</w:t>
      </w:r>
      <w:r>
        <w:rPr>
          <w:rFonts w:hint="eastAsia"/>
          <w:highlight w:val="none"/>
        </w:rPr>
        <w:t>. Within this context, adolescent problematic digital use rarely occurs in isolation. Problematic internet or smartphone use is associated with emotional distress and broader behavioural problems</w:t>
      </w:r>
      <w:r>
        <w:rPr>
          <w:rFonts w:hint="eastAsia" w:eastAsia="宋体"/>
          <w:highlight w:val="none"/>
          <w:vertAlign w:val="superscript"/>
          <w:lang w:val="en-US" w:eastAsia="zh-CN"/>
        </w:rPr>
        <w:t>2-4</w:t>
      </w:r>
      <w:r>
        <w:rPr>
          <w:rFonts w:hint="eastAsia" w:eastAsia="宋体"/>
          <w:highlight w:val="none"/>
          <w:vertAlign w:val="baseline"/>
          <w:lang w:val="en-US" w:eastAsia="zh-CN"/>
        </w:rPr>
        <w:t>.</w:t>
      </w:r>
      <w:r>
        <w:rPr>
          <w:rFonts w:hint="eastAsia"/>
          <w:highlight w:val="none"/>
        </w:rPr>
        <w:t xml:space="preserve"> Social media use, screen time and problematic use have also been associated with depressive symptoms and sleep problems</w:t>
      </w:r>
      <w:r>
        <w:rPr>
          <w:rFonts w:hint="eastAsia" w:eastAsia="宋体"/>
          <w:highlight w:val="none"/>
          <w:vertAlign w:val="superscript"/>
          <w:lang w:val="en-US" w:eastAsia="zh-CN"/>
        </w:rPr>
        <w:t>5-9</w:t>
      </w:r>
      <w:r>
        <w:rPr>
          <w:rFonts w:hint="eastAsia"/>
          <w:highlight w:val="none"/>
        </w:rPr>
        <w:t>. These associations are clinically important, but they do not establish temporal order. Emotional distress may precede compensatory or avoidant digital engagement, whereas escalating digital use may displace sleep, physical activity or offline interaction. Longitudinal estimates</w:t>
      </w:r>
      <w:r>
        <w:rPr>
          <w:rFonts w:hint="eastAsia" w:eastAsia="宋体"/>
          <w:highlight w:val="none"/>
          <w:lang w:val="en-US" w:eastAsia="zh-CN"/>
        </w:rPr>
        <w:t xml:space="preserve"> </w:t>
      </w:r>
      <w:r>
        <w:rPr>
          <w:rFonts w:hint="eastAsia"/>
          <w:highlight w:val="none"/>
        </w:rPr>
        <w:t>are often small and vary across digital-use constructs, developmental periods and analytical specifications</w:t>
      </w:r>
      <w:r>
        <w:rPr>
          <w:rFonts w:hint="eastAsia" w:eastAsia="宋体"/>
          <w:highlight w:val="none"/>
          <w:vertAlign w:val="superscript"/>
          <w:lang w:val="en-US" w:eastAsia="zh-CN"/>
        </w:rPr>
        <w:t>10, 11</w:t>
      </w:r>
      <w:r>
        <w:rPr>
          <w:rFonts w:hint="eastAsia"/>
          <w:highlight w:val="none"/>
        </w:rPr>
        <w:t>. The central question is which domains predict subsequent change across the wider mental health system.</w:t>
      </w:r>
    </w:p>
    <w:p w14:paraId="0D8CE3BF">
      <w:pPr>
        <w:rPr>
          <w:rFonts w:hint="eastAsia" w:eastAsia="宋体"/>
          <w:highlight w:val="none"/>
          <w:lang w:val="en-US" w:eastAsia="zh-CN"/>
        </w:rPr>
      </w:pPr>
      <w:r>
        <w:rPr>
          <w:rFonts w:hint="eastAsia"/>
          <w:highlight w:val="none"/>
        </w:rPr>
        <w:t>Network models provide a framework for examining this ordering without reducing multidomain comorbidity to a single total score</w:t>
      </w:r>
      <w:r>
        <w:rPr>
          <w:rFonts w:hint="eastAsia" w:eastAsia="宋体"/>
          <w:highlight w:val="none"/>
          <w:vertAlign w:val="superscript"/>
          <w:lang w:val="en-US" w:eastAsia="zh-CN"/>
        </w:rPr>
        <w:t>12-15</w:t>
      </w:r>
      <w:r>
        <w:rPr>
          <w:rFonts w:hint="eastAsia"/>
          <w:highlight w:val="none"/>
        </w:rPr>
        <w:t>. Rather than treating co-occurring difficulties as manifestations of a single underlying disorder, the network approach conceptualises symptoms and health domains as connected components of a wider system</w:t>
      </w:r>
      <w:r>
        <w:rPr>
          <w:rFonts w:hint="eastAsia" w:eastAsia="宋体"/>
          <w:highlight w:val="none"/>
          <w:vertAlign w:val="superscript"/>
          <w:lang w:val="en-US" w:eastAsia="zh-CN"/>
        </w:rPr>
        <w:t>16, 17</w:t>
      </w:r>
      <w:r>
        <w:rPr>
          <w:rFonts w:hint="eastAsia"/>
          <w:highlight w:val="none"/>
        </w:rPr>
        <w:t>. Cross-sectional Gaussian graphical models estimate conditional associations, while centrality measures identify highly connected nodes</w:t>
      </w:r>
      <w:r>
        <w:rPr>
          <w:rFonts w:hint="eastAsia" w:eastAsia="宋体"/>
          <w:highlight w:val="none"/>
          <w:vertAlign w:val="superscript"/>
          <w:lang w:val="en-US" w:eastAsia="zh-CN"/>
        </w:rPr>
        <w:t>18, 19</w:t>
      </w:r>
      <w:r>
        <w:rPr>
          <w:rFonts w:hint="eastAsia"/>
          <w:highlight w:val="none"/>
        </w:rPr>
        <w:t xml:space="preserve">. Connectedness alone does not indicate structural leverage or temporal priority. Structural-control methods address the static architecture of the system: </w:t>
      </w:r>
      <w:r>
        <w:rPr>
          <w:rFonts w:hint="eastAsia" w:eastAsia="宋体"/>
          <w:highlight w:val="none"/>
          <w:lang w:eastAsia="zh-CN"/>
        </w:rPr>
        <w:t>minimum dominating set (MDS) analysis identifies the smallest sets of nodes whose neighbourhoods cover the estimated network, whereas module-control analysis characterises inter-module structural coverage</w:t>
      </w:r>
      <w:r>
        <w:rPr>
          <w:rFonts w:hint="eastAsia" w:eastAsia="宋体"/>
          <w:highlight w:val="none"/>
          <w:vertAlign w:val="superscript"/>
          <w:lang w:val="en-US" w:eastAsia="zh-CN"/>
        </w:rPr>
        <w:t>20-22</w:t>
      </w:r>
      <w:r>
        <w:rPr>
          <w:rFonts w:hint="eastAsia"/>
          <w:highlight w:val="none"/>
        </w:rPr>
        <w:t>. These topological quantities may reveal structural leverage, but they do not establish causal effects or temporal precedence</w:t>
      </w:r>
      <w:r>
        <w:rPr>
          <w:rFonts w:hint="eastAsia" w:eastAsia="宋体"/>
          <w:highlight w:val="none"/>
          <w:vertAlign w:val="superscript"/>
          <w:lang w:val="en-US" w:eastAsia="zh-CN"/>
        </w:rPr>
        <w:t>23-25</w:t>
      </w:r>
      <w:r>
        <w:rPr>
          <w:rFonts w:hint="eastAsia"/>
          <w:highlight w:val="none"/>
        </w:rPr>
        <w:t>. Cross-lagged panel networks</w:t>
      </w:r>
      <w:r>
        <w:rPr>
          <w:rFonts w:hint="eastAsia" w:eastAsia="宋体"/>
          <w:highlight w:val="none"/>
          <w:lang w:val="en-US" w:eastAsia="zh-CN"/>
        </w:rPr>
        <w:t xml:space="preserve"> </w:t>
      </w:r>
      <w:r>
        <w:rPr>
          <w:rFonts w:hint="eastAsia"/>
          <w:highlight w:val="none"/>
        </w:rPr>
        <w:t>(CLPNs) instead quantify prospective prediction among domains, allowing static structural position to be compared with CLPN net directionality</w:t>
      </w:r>
      <w:r>
        <w:rPr>
          <w:rFonts w:hint="eastAsia" w:eastAsia="宋体"/>
          <w:highlight w:val="none"/>
          <w:vertAlign w:val="superscript"/>
          <w:lang w:val="en-US" w:eastAsia="zh-CN"/>
        </w:rPr>
        <w:t>26</w:t>
      </w:r>
      <w:r>
        <w:rPr>
          <w:rFonts w:hint="eastAsia"/>
          <w:highlight w:val="none"/>
        </w:rPr>
        <w:t>.</w:t>
      </w:r>
      <w:r>
        <w:rPr>
          <w:rFonts w:hint="eastAsia" w:eastAsia="宋体"/>
          <w:highlight w:val="none"/>
          <w:lang w:val="en-US" w:eastAsia="zh-CN"/>
        </w:rPr>
        <w:t xml:space="preserve"> </w:t>
      </w:r>
    </w:p>
    <w:p w14:paraId="383F6AC7">
      <w:pPr>
        <w:rPr>
          <w:rFonts w:hint="eastAsia" w:eastAsia="宋体"/>
          <w:highlight w:val="none"/>
          <w:lang w:val="en-US" w:eastAsia="zh-CN"/>
        </w:rPr>
      </w:pPr>
      <w:r>
        <w:rPr>
          <w:rFonts w:hint="eastAsia" w:eastAsia="宋体"/>
          <w:highlight w:val="none"/>
          <w:lang w:val="en-US" w:eastAsia="zh-CN"/>
        </w:rPr>
        <w:t xml:space="preserve">Establishing which domains lead change over time has direct implications for how adolescent problematic digital use is understood and addressed. If problematic digital use predicts subsequent broader difficulties, early assessment and prevention should address digital behaviour directly. If emotional distress predicts later problematic digital use, problematic digital use should be understood within a broader pattern of emotional difficulties. </w:t>
      </w:r>
    </w:p>
    <w:p w14:paraId="70C6C8EF">
      <w:pPr>
        <w:rPr>
          <w:rFonts w:hint="eastAsia"/>
          <w:highlight w:val="none"/>
        </w:rPr>
      </w:pPr>
      <w:r>
        <w:rPr>
          <w:rFonts w:hint="eastAsia"/>
          <w:highlight w:val="none"/>
        </w:rPr>
        <w:t>Against this background, we used a CLPN in the School-based Evaluation Advancing Response for Child Health (SEARCH) cohort in Jiangsu, China</w:t>
      </w:r>
      <w:r>
        <w:rPr>
          <w:rFonts w:hint="eastAsia" w:eastAsia="宋体"/>
          <w:highlight w:val="none"/>
          <w:vertAlign w:val="superscript"/>
          <w:lang w:val="en-US" w:eastAsia="zh-CN"/>
        </w:rPr>
        <w:t xml:space="preserve">27 </w:t>
      </w:r>
      <w:r>
        <w:rPr>
          <w:rFonts w:hint="eastAsia"/>
          <w:highlight w:val="none"/>
        </w:rPr>
        <w:t>to identify the leading longitudinal predictors across six health domains, with particular focus on the relative positions of problematic digital use and emotional distress.</w:t>
      </w:r>
      <w:r>
        <w:rPr>
          <w:rFonts w:hint="eastAsia" w:eastAsia="宋体"/>
          <w:highlight w:val="none"/>
          <w:lang w:val="en-US" w:eastAsia="zh-CN"/>
        </w:rPr>
        <w:t xml:space="preserve"> </w:t>
      </w:r>
      <w:r>
        <w:rPr>
          <w:rFonts w:hint="eastAsia"/>
          <w:highlight w:val="none"/>
        </w:rPr>
        <w:t>The model included generalised problematic digital use, emotional distress, a study-specific Strengths and Difficulties Questionnaire (SDQ) core-item composite, diet, insomnia and physical activity in 6,092 adolescents reassessed approximately one year later. We then conducted a construct-level longitudinal comparison in the UK Millennium Cohort Study (MCS), where social media use and gaming were measured directly between ages 14 and 17</w:t>
      </w:r>
      <w:r>
        <w:rPr>
          <w:rFonts w:hint="eastAsia" w:eastAsia="宋体"/>
          <w:highlight w:val="none"/>
          <w:vertAlign w:val="superscript"/>
          <w:lang w:val="en-US" w:eastAsia="zh-CN"/>
        </w:rPr>
        <w:t>28</w:t>
      </w:r>
      <w:r>
        <w:rPr>
          <w:rFonts w:hint="eastAsia"/>
          <w:highlight w:val="none"/>
        </w:rPr>
        <w:t>. Next, we characterised the 104-item baseline SEARCH network in 10,356 adolescents and compared its structural-control nodes with the CLPN net source positions. Within SEARCH, an exploratory Bayesian graph was used to assess whether baseline net out-degree aligned with the longitudinal ordering observed in the CLPN. Finally, a pooled multinational young-adult sample from the Global Mind Project</w:t>
      </w:r>
      <w:r>
        <w:rPr>
          <w:rFonts w:hint="eastAsia" w:eastAsia="宋体"/>
          <w:highlight w:val="none"/>
          <w:lang w:val="en-US" w:eastAsia="zh-CN"/>
        </w:rPr>
        <w:t xml:space="preserve"> (GMP)</w:t>
      </w:r>
      <w:r>
        <w:rPr>
          <w:rFonts w:hint="eastAsia" w:eastAsia="宋体"/>
          <w:highlight w:val="none"/>
          <w:vertAlign w:val="superscript"/>
          <w:lang w:val="en-US" w:eastAsia="zh-CN"/>
        </w:rPr>
        <w:t xml:space="preserve">29, 30 </w:t>
      </w:r>
      <w:r>
        <w:rPr>
          <w:rFonts w:hint="eastAsia"/>
          <w:highlight w:val="none"/>
        </w:rPr>
        <w:t xml:space="preserve">provided a cross-sectional comparison of network strength of emotion and </w:t>
      </w:r>
      <w:r>
        <w:rPr>
          <w:rFonts w:hint="eastAsia" w:eastAsia="宋体"/>
          <w:highlight w:val="none"/>
          <w:lang w:eastAsia="zh-CN"/>
        </w:rPr>
        <w:t>social media use</w:t>
      </w:r>
      <w:r>
        <w:rPr>
          <w:rFonts w:hint="eastAsia"/>
          <w:highlight w:val="none"/>
        </w:rPr>
        <w:t>. Across the longitudinal cohorts, we sought to identify the principal predictors of subsequent change across the broader mental health system, focusing on whether screen-related behaviours or psychological difficulties occupied the leading CLPN net source positions. Within SEARCH, we also examined whether these longitudinal positions corresponded to the parts of the symptom system identified by static structural-control analyses. The pooled GMP analysis provided a cross-sectional comparison of the relative network prominence of emotional and screen-related domains.</w:t>
      </w:r>
    </w:p>
    <w:p w14:paraId="38758A5C">
      <w:pPr>
        <w:pStyle w:val="3"/>
        <w:keepNext/>
        <w:rPr>
          <w:highlight w:val="none"/>
        </w:rPr>
      </w:pPr>
      <w:r>
        <w:rPr>
          <w:highlight w:val="none"/>
        </w:rPr>
        <w:t>Results</w:t>
      </w:r>
    </w:p>
    <w:p w14:paraId="73A2C3A8">
      <w:pPr>
        <w:pStyle w:val="5"/>
        <w:keepNext/>
        <w:rPr>
          <w:highlight w:val="none"/>
        </w:rPr>
      </w:pPr>
      <w:r>
        <w:rPr>
          <w:rFonts w:hint="eastAsia"/>
          <w:highlight w:val="none"/>
        </w:rPr>
        <w:t>Emotional distress shows the largest positive CLPN net-directionality estimate in SEARCH</w:t>
      </w:r>
    </w:p>
    <w:p w14:paraId="3C4A27C7">
      <w:pPr>
        <w:rPr>
          <w:rFonts w:hint="eastAsia"/>
          <w:highlight w:val="none"/>
        </w:rPr>
      </w:pPr>
      <w:r>
        <w:rPr>
          <w:rFonts w:hint="eastAsia"/>
          <w:highlight w:val="none"/>
        </w:rPr>
        <w:t>After data-quality screening, 10,356 adolescents from the School-based Evaluation Advancing Response for Child Health (SEARCH) cohort comprised the Wave 1 analytical sample. Of these, 6,092 were successfully linked to Wave 3, conducted approximately one year after Wave 1, and had complete data across all six longitudinal domains. For consistency across the text and figures, these domains are denoted throughout as CIAS (generalised problematic digital use), DASS (emotional distress), SDQ (broad difficulties), DIET (diet), ISI (insomnia) and ACT (physical activity).</w:t>
      </w:r>
      <w:r>
        <w:rPr>
          <w:rFonts w:hint="eastAsia" w:eastAsia="宋体"/>
          <w:highlight w:val="none"/>
          <w:lang w:val="en-US" w:eastAsia="zh-CN"/>
        </w:rPr>
        <w:t xml:space="preserve"> </w:t>
      </w:r>
      <w:r>
        <w:rPr>
          <w:rFonts w:hint="eastAsia"/>
          <w:highlight w:val="none"/>
        </w:rPr>
        <w:t xml:space="preserve">Compared with participants who could not be linked, the retained sample had lower baseline scores for CIAS (standardised mean difference, −0.35), DASS (−0.35), ISI (−0.31), DIET (−0.26) and SDQ (−0.18), and slightly higher physical activity (0.10; Supplementary Table S12). </w:t>
      </w:r>
    </w:p>
    <w:p w14:paraId="4321AB6A">
      <w:pPr>
        <w:rPr>
          <w:rFonts w:hint="eastAsia"/>
          <w:highlight w:val="none"/>
        </w:rPr>
      </w:pPr>
      <w:r>
        <w:rPr>
          <w:rFonts w:hint="eastAsia"/>
          <w:highlight w:val="none"/>
        </w:rPr>
        <w:t>Net directionality summarises the balance between absolute outgoing and incoming cross-domain coefficients, excluding autoregressive paths. Positive values indicate a greater balance of outgoing than incoming cross-domain prediction, whereas negative values indicate the reverse.</w:t>
      </w:r>
      <w:r>
        <w:rPr>
          <w:rFonts w:hint="eastAsia" w:eastAsia="宋体"/>
          <w:highlight w:val="none"/>
          <w:lang w:val="en-US" w:eastAsia="zh-CN"/>
        </w:rPr>
        <w:t xml:space="preserve"> </w:t>
      </w:r>
      <w:r>
        <w:rPr>
          <w:rFonts w:hint="eastAsia"/>
          <w:highlight w:val="none"/>
        </w:rPr>
        <w:t>Within this retained sample, emotional distress</w:t>
      </w:r>
      <w:r>
        <w:rPr>
          <w:rFonts w:hint="eastAsia" w:eastAsia="宋体"/>
          <w:highlight w:val="none"/>
          <w:lang w:val="en-US" w:eastAsia="zh-CN"/>
        </w:rPr>
        <w:t xml:space="preserve"> </w:t>
      </w:r>
      <w:r>
        <w:rPr>
          <w:rFonts w:hint="eastAsia"/>
          <w:highlight w:val="none"/>
        </w:rPr>
        <w:t>had the largest positive point estimate (+0.249, 95% CI 0.086–0.418; Fig. 1). The SDQ broad-difficulties domain (−0.090, 95% CI −0.189 to −0.003) and physical activity (−0.145, 95% CI −0.218 to −0.060) had negative net-directionality estimates. The confidence intervals for problematic digital use (CIAS; −0.061, 95% CI −0.161 to 0.051), diet (−0.014, 95% CI −0.137 to 0.108) and insomnia (+0.061, 95% CI −0.091 to 0.217) included zero.</w:t>
      </w:r>
    </w:p>
    <w:p w14:paraId="24883C49">
      <w:pPr>
        <w:rPr>
          <w:rFonts w:hint="eastAsia"/>
          <w:highlight w:val="none"/>
        </w:rPr>
      </w:pPr>
      <w:r>
        <w:rPr>
          <w:rFonts w:hint="eastAsia"/>
          <w:highlight w:val="none"/>
        </w:rPr>
        <w:t>The individual paths further clarified this pattern. Emotional distress predicted later problematic digital use (DASS→CIAS, β = 0.160). The reciprocal CIAS→DASS association was also positive but smaller (β = 0.079). Emotional distress predicted later insomnia (β = 0.151), the SDQ broad-difficulties domain score (β = 0.120) and diet (β = 0.108). The reciprocal path from insomnia to emotional distress was of similar magnitude (ISI→DASS, β = 0.150), indicating prospective prediction in both directions. Emotional distress retained the strongest positive CLPN net directionality. With school-cluster-robust inference, the DASS→CIAS coefficient was 0.160 (95% CI 0.076–0.244; nominal P = 0.0020; Bonferroni-adjusted P = 0.059). The DASS→ISI association remained significant after Bonferroni correction (adjusted P = 0.038).</w:t>
      </w:r>
      <w:r>
        <w:rPr>
          <w:rFonts w:hint="eastAsia" w:eastAsia="宋体"/>
          <w:highlight w:val="none"/>
          <w:lang w:val="en-US" w:eastAsia="zh-CN"/>
        </w:rPr>
        <w:t xml:space="preserve"> </w:t>
      </w:r>
      <w:r>
        <w:rPr>
          <w:rFonts w:hint="eastAsia"/>
          <w:highlight w:val="none"/>
        </w:rPr>
        <w:t xml:space="preserve">It also retained the leading </w:t>
      </w:r>
      <w:r>
        <w:rPr>
          <w:rFonts w:hint="eastAsia" w:eastAsia="宋体"/>
          <w:highlight w:val="none"/>
          <w:lang w:eastAsia="zh-CN"/>
        </w:rPr>
        <w:t>CLPN net source position</w:t>
      </w:r>
      <w:r>
        <w:rPr>
          <w:rFonts w:hint="eastAsia"/>
          <w:highlight w:val="none"/>
        </w:rPr>
        <w:t xml:space="preserve"> in sensitivity analyses restricted to Bonferroni-significant cross-domain paths, adjusted for age, sex and grade, and excluding diet (Supplementary Table S13). Across the sensitivity analyses, emotional distress retained the largest positive net-directionality point estimate. Under school-cluster-robust inference, the DASS→CIAS coefficient remained positive, although its Bonferroni-adjusted P value was 0.059.</w:t>
      </w:r>
    </w:p>
    <w:p w14:paraId="226C60A4">
      <w:pPr>
        <w:rPr>
          <w:rFonts w:hint="eastAsia" w:eastAsia="宋体"/>
          <w:b/>
          <w:highlight w:val="none"/>
          <w:lang w:eastAsia="zh-CN"/>
        </w:rPr>
      </w:pPr>
      <w:r>
        <w:rPr>
          <w:rFonts w:hint="eastAsia" w:eastAsia="宋体"/>
          <w:b/>
          <w:highlight w:val="none"/>
          <w:lang w:eastAsia="zh-CN"/>
        </w:rPr>
        <w:drawing>
          <wp:inline distT="0" distB="0" distL="114300" distR="114300">
            <wp:extent cx="5845810" cy="3188335"/>
            <wp:effectExtent l="0" t="0" r="8890" b="12065"/>
            <wp:docPr id="5" name="图片 5" descr="Figur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Figure_1"/>
                    <pic:cNvPicPr>
                      <a:picLocks noChangeAspect="1"/>
                    </pic:cNvPicPr>
                  </pic:nvPicPr>
                  <pic:blipFill>
                    <a:blip r:embed="rId8"/>
                    <a:stretch>
                      <a:fillRect/>
                    </a:stretch>
                  </pic:blipFill>
                  <pic:spPr>
                    <a:xfrm>
                      <a:off x="0" y="0"/>
                      <a:ext cx="5845810" cy="3188335"/>
                    </a:xfrm>
                    <a:prstGeom prst="rect">
                      <a:avLst/>
                    </a:prstGeom>
                  </pic:spPr>
                </pic:pic>
              </a:graphicData>
            </a:graphic>
          </wp:inline>
        </w:drawing>
      </w:r>
    </w:p>
    <w:p w14:paraId="066B0C7E">
      <w:pPr>
        <w:pStyle w:val="165"/>
        <w:keepLines/>
        <w:rPr>
          <w:highlight w:val="none"/>
        </w:rPr>
      </w:pPr>
      <w:r>
        <w:rPr>
          <w:b/>
          <w:highlight w:val="none"/>
        </w:rPr>
        <w:t xml:space="preserve">Figure 1 | </w:t>
      </w:r>
      <w:r>
        <w:rPr>
          <w:rFonts w:hint="eastAsia"/>
          <w:highlight w:val="none"/>
        </w:rPr>
        <w:t>Longitudinal cross-lagged network in SEARCH</w:t>
      </w:r>
      <w:r>
        <w:rPr>
          <w:rFonts w:hint="eastAsia" w:eastAsia="宋体"/>
          <w:highlight w:val="none"/>
          <w:lang w:val="en-US" w:eastAsia="zh-CN"/>
        </w:rPr>
        <w:t xml:space="preserve">. </w:t>
      </w:r>
      <w:r>
        <w:rPr>
          <w:rFonts w:hint="eastAsia"/>
          <w:highlight w:val="none"/>
        </w:rPr>
        <w:t>(a) Standardised coefficients from each Wave 1 domain to each Wave 3 domain; diagonal entries are autoregressive effects, and asterisks indicate nominal P &lt; 0.05 without multiplicity adjustment. (b) Directed network displaying cross-lagged paths with nominal P &lt; 0.05 and |β| ≥ 0.08. The reciprocal CIAS→DASS path (β = 0.079) falls below the display threshold and is shown in panel a.</w:t>
      </w:r>
      <w:r>
        <w:rPr>
          <w:rFonts w:hint="eastAsia" w:eastAsia="宋体"/>
          <w:highlight w:val="none"/>
          <w:lang w:val="en-US" w:eastAsia="zh-CN"/>
        </w:rPr>
        <w:t xml:space="preserve"> </w:t>
      </w:r>
      <w:r>
        <w:rPr>
          <w:rFonts w:hint="eastAsia"/>
          <w:highlight w:val="none"/>
        </w:rPr>
        <w:t>This display threshold was used for visual clarity. (c) CLPN net directionality, calculated as absolute cross-lagged out-strength minus in-strength, with 95% bootstrap confidence intervals. CIAS, generalised problematic digital use; DASS, emotional distress; SDQ, broad SDQ difficulties; DIET, diet; ISI, insomnia; ACT, physical activity. N = 6,092.</w:t>
      </w:r>
    </w:p>
    <w:p w14:paraId="55005244">
      <w:pPr>
        <w:pStyle w:val="5"/>
        <w:keepNext/>
        <w:rPr>
          <w:highlight w:val="none"/>
        </w:rPr>
      </w:pPr>
      <w:r>
        <w:rPr>
          <w:rFonts w:hint="eastAsia"/>
          <w:highlight w:val="none"/>
        </w:rPr>
        <w:t>Social media use and gaming</w:t>
      </w:r>
      <w:r>
        <w:rPr>
          <w:rFonts w:hint="eastAsia" w:eastAsia="宋体"/>
          <w:highlight w:val="none"/>
          <w:lang w:val="en-US" w:eastAsia="zh-CN"/>
        </w:rPr>
        <w:t xml:space="preserve"> </w:t>
      </w:r>
      <w:r>
        <w:rPr>
          <w:rFonts w:hint="eastAsia"/>
          <w:highlight w:val="none"/>
        </w:rPr>
        <w:t>show negative CLPN net-directionality estimates in the UK cohort</w:t>
      </w:r>
    </w:p>
    <w:p w14:paraId="31C27F37">
      <w:pPr>
        <w:rPr>
          <w:rFonts w:hint="eastAsia"/>
          <w:highlight w:val="none"/>
        </w:rPr>
      </w:pPr>
      <w:r>
        <w:rPr>
          <w:rFonts w:hint="eastAsia"/>
          <w:highlight w:val="none"/>
        </w:rPr>
        <w:t xml:space="preserve">In SEARCH, emotional distress occupied the leading </w:t>
      </w:r>
      <w:r>
        <w:rPr>
          <w:rFonts w:hint="eastAsia" w:eastAsia="宋体"/>
          <w:highlight w:val="none"/>
          <w:lang w:eastAsia="zh-CN"/>
        </w:rPr>
        <w:t>CLPN net source position</w:t>
      </w:r>
      <w:r>
        <w:rPr>
          <w:rFonts w:hint="eastAsia"/>
          <w:highlight w:val="none"/>
        </w:rPr>
        <w:t>; CIAS</w:t>
      </w:r>
      <w:r>
        <w:rPr>
          <w:rFonts w:hint="eastAsia" w:eastAsia="宋体"/>
          <w:highlight w:val="none"/>
          <w:lang w:val="en-US" w:eastAsia="zh-CN"/>
        </w:rPr>
        <w:t xml:space="preserve"> (</w:t>
      </w:r>
      <w:r>
        <w:rPr>
          <w:rFonts w:hint="eastAsia"/>
          <w:highlight w:val="none"/>
        </w:rPr>
        <w:t>problematic digital use</w:t>
      </w:r>
      <w:r>
        <w:rPr>
          <w:rFonts w:hint="eastAsia" w:eastAsia="宋体"/>
          <w:highlight w:val="none"/>
          <w:lang w:val="en-US" w:eastAsia="zh-CN"/>
        </w:rPr>
        <w:t>)</w:t>
      </w:r>
      <w:r>
        <w:rPr>
          <w:rFonts w:hint="eastAsia"/>
          <w:highlight w:val="none"/>
        </w:rPr>
        <w:t xml:space="preserve"> showed positive reciprocal associations with emotional distress, while the confidence interval for its net-directionality estimate included zero. We next examined this longitudinal ordering in the independent UK Millennium Cohort Study (MCS), which followed adolescents from age 14 to age 17 and directly measured </w:t>
      </w:r>
      <w:r>
        <w:rPr>
          <w:rFonts w:hint="eastAsia" w:eastAsia="宋体"/>
          <w:highlight w:val="none"/>
          <w:lang w:eastAsia="zh-CN"/>
        </w:rPr>
        <w:t>social media</w:t>
      </w:r>
      <w:r>
        <w:rPr>
          <w:rFonts w:hint="eastAsia"/>
          <w:highlight w:val="none"/>
        </w:rPr>
        <w:t xml:space="preserve"> use and electronic gaming. Among 9,520 cohort members linked across the two ages, 7,838 had complete data across all six domains and entered the CLPN analysis. Screen-related behaviours occupied </w:t>
      </w:r>
      <w:r>
        <w:rPr>
          <w:rFonts w:hint="eastAsia" w:eastAsia="宋体"/>
          <w:highlight w:val="none"/>
          <w:lang w:eastAsia="zh-CN"/>
        </w:rPr>
        <w:t>CLPN net sink position</w:t>
      </w:r>
      <w:r>
        <w:rPr>
          <w:rFonts w:hint="eastAsia"/>
          <w:highlight w:val="none"/>
        </w:rPr>
        <w:t xml:space="preserve">s. </w:t>
      </w:r>
      <w:r>
        <w:rPr>
          <w:rFonts w:hint="eastAsia" w:eastAsia="宋体"/>
          <w:highlight w:val="none"/>
          <w:lang w:eastAsia="zh-CN"/>
        </w:rPr>
        <w:t>social media</w:t>
      </w:r>
      <w:r>
        <w:rPr>
          <w:rFonts w:hint="eastAsia"/>
          <w:highlight w:val="none"/>
        </w:rPr>
        <w:t xml:space="preserve"> use had the strongest negative CLPN net directionality (−0.211, 95% CI −0.260 to −0.139). Gaming (−0.089, 95% CI −0.149 to −0.020) and peer problems (−0.080, 95% CI −0.161 to −0.004; Fig. 2) also occupied </w:t>
      </w:r>
      <w:r>
        <w:rPr>
          <w:rFonts w:hint="eastAsia" w:eastAsia="宋体"/>
          <w:highlight w:val="none"/>
          <w:lang w:eastAsia="zh-CN"/>
        </w:rPr>
        <w:t>CLPN net sink position</w:t>
      </w:r>
      <w:r>
        <w:rPr>
          <w:rFonts w:hint="eastAsia"/>
          <w:highlight w:val="none"/>
        </w:rPr>
        <w:t>s.</w:t>
      </w:r>
    </w:p>
    <w:p w14:paraId="454C20B4">
      <w:pPr>
        <w:rPr>
          <w:rFonts w:hint="eastAsia"/>
          <w:highlight w:val="none"/>
        </w:rPr>
      </w:pPr>
      <w:r>
        <w:rPr>
          <w:rFonts w:hint="eastAsia"/>
          <w:highlight w:val="none"/>
        </w:rPr>
        <w:t xml:space="preserve">Among the domains with positive CLPN net directionality, hyperactivity/inattention had the largest value (+0.177, 95% CI 0.105 to 0.255), followed by self-reported internalising distress (+0.105, 95% CI 0.023 to 0.154) and conduct problems (+0.098, 95% CI 0.015 to 0.191). The strongest prospective paths to later screen-related behaviour originated from the externalising domains. Hyperactivity/inattention predicted gaming (β = 0.137) and </w:t>
      </w:r>
      <w:r>
        <w:rPr>
          <w:rFonts w:hint="eastAsia" w:eastAsia="宋体"/>
          <w:highlight w:val="none"/>
          <w:lang w:eastAsia="zh-CN"/>
        </w:rPr>
        <w:t>social media</w:t>
      </w:r>
      <w:r>
        <w:rPr>
          <w:rFonts w:hint="eastAsia"/>
          <w:highlight w:val="none"/>
        </w:rPr>
        <w:t xml:space="preserve"> use (β = 0.112); conduct problems predicted </w:t>
      </w:r>
      <w:r>
        <w:rPr>
          <w:rFonts w:hint="eastAsia" w:eastAsia="宋体"/>
          <w:highlight w:val="none"/>
          <w:lang w:eastAsia="zh-CN"/>
        </w:rPr>
        <w:t>social media</w:t>
      </w:r>
      <w:r>
        <w:rPr>
          <w:rFonts w:hint="eastAsia"/>
          <w:highlight w:val="none"/>
        </w:rPr>
        <w:t xml:space="preserve"> use (β = 0.080) and gaming (β = 0.060). Self-reported internalising distress had positive CLPN net directionality, but its direct paths to later </w:t>
      </w:r>
      <w:r>
        <w:rPr>
          <w:rFonts w:hint="eastAsia" w:eastAsia="宋体"/>
          <w:highlight w:val="none"/>
          <w:lang w:eastAsia="zh-CN"/>
        </w:rPr>
        <w:t>social media</w:t>
      </w:r>
      <w:r>
        <w:rPr>
          <w:rFonts w:hint="eastAsia"/>
          <w:highlight w:val="none"/>
        </w:rPr>
        <w:t xml:space="preserve"> use (β = −0.013) and gaming (β = −0.045) were negative. Emotional distress had the strongest positive CLPN net directionality in SEARCH. MCS extended this pattern by identifying both internalising and externalising domains with positive CLPN net directionality, led by hyperactivity/inattention. Across both cohorts, screen-related behaviours did not occupy leading </w:t>
      </w:r>
      <w:r>
        <w:rPr>
          <w:rFonts w:hint="eastAsia" w:eastAsia="宋体"/>
          <w:highlight w:val="none"/>
          <w:lang w:eastAsia="zh-CN"/>
        </w:rPr>
        <w:t>CLPN net source position</w:t>
      </w:r>
      <w:r>
        <w:rPr>
          <w:rFonts w:hint="eastAsia"/>
          <w:highlight w:val="none"/>
        </w:rPr>
        <w:t xml:space="preserve">s. Problematic digital use showed no significant CLPN net directionality in SEARCH; </w:t>
      </w:r>
      <w:r>
        <w:rPr>
          <w:rFonts w:hint="eastAsia" w:eastAsia="宋体"/>
          <w:highlight w:val="none"/>
          <w:lang w:eastAsia="zh-CN"/>
        </w:rPr>
        <w:t>social media</w:t>
      </w:r>
      <w:r>
        <w:rPr>
          <w:rFonts w:hint="eastAsia"/>
          <w:highlight w:val="none"/>
        </w:rPr>
        <w:t xml:space="preserve"> use and gaming occupied </w:t>
      </w:r>
      <w:r>
        <w:rPr>
          <w:rFonts w:hint="eastAsia" w:eastAsia="宋体"/>
          <w:highlight w:val="none"/>
          <w:lang w:eastAsia="zh-CN"/>
        </w:rPr>
        <w:t>CLPN net sink position</w:t>
      </w:r>
      <w:r>
        <w:rPr>
          <w:rFonts w:hint="eastAsia"/>
          <w:highlight w:val="none"/>
        </w:rPr>
        <w:t>s in MCS.</w:t>
      </w:r>
    </w:p>
    <w:p w14:paraId="0A08A6D1">
      <w:pPr>
        <w:rPr>
          <w:rFonts w:hint="eastAsia" w:eastAsia="宋体"/>
          <w:highlight w:val="none"/>
          <w:lang w:eastAsia="zh-CN"/>
        </w:rPr>
      </w:pPr>
      <w:r>
        <w:rPr>
          <w:rFonts w:hint="eastAsia" w:eastAsia="宋体"/>
          <w:highlight w:val="none"/>
          <w:lang w:eastAsia="zh-CN"/>
        </w:rPr>
        <w:drawing>
          <wp:inline distT="0" distB="0" distL="114300" distR="114300">
            <wp:extent cx="5843270" cy="2715895"/>
            <wp:effectExtent l="0" t="0" r="11430" b="1905"/>
            <wp:docPr id="1" name="图片 1" descr="Figur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igure_2"/>
                    <pic:cNvPicPr>
                      <a:picLocks noChangeAspect="1"/>
                    </pic:cNvPicPr>
                  </pic:nvPicPr>
                  <pic:blipFill>
                    <a:blip r:embed="rId9"/>
                    <a:stretch>
                      <a:fillRect/>
                    </a:stretch>
                  </pic:blipFill>
                  <pic:spPr>
                    <a:xfrm>
                      <a:off x="0" y="0"/>
                      <a:ext cx="5843270" cy="2715895"/>
                    </a:xfrm>
                    <a:prstGeom prst="rect">
                      <a:avLst/>
                    </a:prstGeom>
                  </pic:spPr>
                </pic:pic>
              </a:graphicData>
            </a:graphic>
          </wp:inline>
        </w:drawing>
      </w:r>
    </w:p>
    <w:p w14:paraId="5DBC1FE4">
      <w:pPr>
        <w:pStyle w:val="165"/>
        <w:keepLines/>
        <w:rPr>
          <w:rFonts w:hint="eastAsia" w:eastAsia="宋体"/>
          <w:highlight w:val="none"/>
          <w:lang w:val="en-US" w:eastAsia="zh-CN"/>
        </w:rPr>
      </w:pPr>
      <w:r>
        <w:rPr>
          <w:rFonts w:hint="eastAsia"/>
          <w:b/>
          <w:bCs/>
          <w:highlight w:val="none"/>
        </w:rPr>
        <w:t>Figure 2</w:t>
      </w:r>
      <w:r>
        <w:rPr>
          <w:rFonts w:hint="eastAsia"/>
          <w:highlight w:val="none"/>
        </w:rPr>
        <w:t xml:space="preserve"> | Longitudinal directionality in the UK Millennium Cohort Study. (a) </w:t>
      </w:r>
      <w:r>
        <w:rPr>
          <w:rFonts w:hint="eastAsia" w:eastAsia="宋体"/>
          <w:highlight w:val="none"/>
          <w:lang w:eastAsia="zh-CN"/>
        </w:rPr>
        <w:t>CLPN net directionality</w:t>
      </w:r>
      <w:r>
        <w:rPr>
          <w:rFonts w:hint="eastAsia"/>
          <w:highlight w:val="none"/>
        </w:rPr>
        <w:t xml:space="preserve"> from age 14 to age 17, calculated as absolute cross-lagged out-strength minus in-strength, with 95% bootstrap confidence intervals. Positive values indicate a stronger balance of outgoing over incoming prediction. (b) Directed temporal network showing cross-lagged paths with |β| ≥ 0.05; this display threshold was used for visual clarity and does not denote statistical significance. Red and blue edges indicate positive and negative coefficients, respectively. (c) Cross-cohort comparison of CLPN net directionality for psychological and screen-related domains. SEARCH uses DASS-21 for emotional distress and CIAS-R for generalised problematic digital use; MCS uses self-reported internalising distress and direct measures of </w:t>
      </w:r>
      <w:r>
        <w:rPr>
          <w:rFonts w:hint="eastAsia" w:eastAsia="宋体"/>
          <w:highlight w:val="none"/>
          <w:lang w:eastAsia="zh-CN"/>
        </w:rPr>
        <w:t>social media use</w:t>
      </w:r>
      <w:r>
        <w:rPr>
          <w:rFonts w:hint="eastAsia"/>
          <w:highlight w:val="none"/>
        </w:rPr>
        <w:t xml:space="preserve"> and gaming.</w:t>
      </w:r>
      <w:r>
        <w:rPr>
          <w:rFonts w:hint="eastAsia" w:eastAsia="宋体"/>
          <w:highlight w:val="none"/>
          <w:lang w:val="en-US" w:eastAsia="zh-CN"/>
        </w:rPr>
        <w:t xml:space="preserve"> </w:t>
      </w:r>
      <w:r>
        <w:rPr>
          <w:rFonts w:hint="eastAsia"/>
          <w:highlight w:val="none"/>
        </w:rPr>
        <w:t>N = 9,520 linked across ages 14 and 17; n = 7,838 complete cases included in the cross-lagged analysis.</w:t>
      </w:r>
    </w:p>
    <w:p w14:paraId="7169CE88">
      <w:pPr>
        <w:pStyle w:val="5"/>
        <w:keepNext/>
        <w:rPr>
          <w:highlight w:val="none"/>
        </w:rPr>
      </w:pPr>
      <w:r>
        <w:rPr>
          <w:highlight w:val="none"/>
        </w:rPr>
        <w:t>Static structural control differs from temporal prediction</w:t>
      </w:r>
    </w:p>
    <w:p w14:paraId="65F380AE">
      <w:pPr>
        <w:rPr>
          <w:rFonts w:hint="eastAsia"/>
          <w:highlight w:val="none"/>
        </w:rPr>
      </w:pPr>
      <w:r>
        <w:rPr>
          <w:rFonts w:hint="eastAsia"/>
          <w:highlight w:val="none"/>
        </w:rPr>
        <w:t>The longitudinal analyses in SEARCH and MCS placed screen-related behaviours outside the leading CLPN net source positions. We next examined the baseline SEARCH network to identify item-level structural-control positions. The network contained 104 items connected by 2,777 non-zero edges (density = 0.518, modularity = 0.443, global efficiency = 0.759). Despite the dense interconnection, ten equivalent MDS solutions were identified, each comprising three nodes whose immediate neighbourhoods covered the remaining network. Across these solutions, the most recurrent control nodes were DIET22 (worried by others about eating too much; control frequency = 0.60), SDQ18 (often lies or cheats; 0.50) and DASS14 (intolerance of interruption; 0.40; Fig. 3). The leading control positions arose from diet, behavioural and emotional symptoms. No CIAS item ranked among the three highest-frequency control nodes.</w:t>
      </w:r>
      <w:r>
        <w:rPr>
          <w:rFonts w:hint="eastAsia" w:eastAsia="宋体"/>
          <w:highlight w:val="none"/>
          <w:lang w:val="en-US" w:eastAsia="zh-CN"/>
        </w:rPr>
        <w:t xml:space="preserve"> </w:t>
      </w:r>
      <w:r>
        <w:rPr>
          <w:rFonts w:hint="eastAsia"/>
          <w:highlight w:val="none"/>
        </w:rPr>
        <w:t>These structural-control nodes were not the most highly connected symptoms</w:t>
      </w:r>
      <w:r>
        <w:rPr>
          <w:rFonts w:hint="eastAsia" w:eastAsia="宋体"/>
          <w:highlight w:val="none"/>
          <w:lang w:val="en-US" w:eastAsia="zh-CN"/>
        </w:rPr>
        <w:t>:</w:t>
      </w:r>
      <w:r>
        <w:rPr>
          <w:rFonts w:hint="eastAsia"/>
          <w:highlight w:val="none"/>
        </w:rPr>
        <w:t xml:space="preserve"> </w:t>
      </w:r>
      <w:r>
        <w:rPr>
          <w:rFonts w:hint="eastAsia" w:eastAsia="宋体"/>
          <w:highlight w:val="none"/>
          <w:lang w:val="en-US" w:eastAsia="zh-CN"/>
        </w:rPr>
        <w:t>c</w:t>
      </w:r>
      <w:r>
        <w:rPr>
          <w:rFonts w:hint="eastAsia"/>
          <w:highlight w:val="none"/>
        </w:rPr>
        <w:t>ontrol frequency correlated only weakly with node strength (Spearman ρ = 0.061) and showed a different loading profile from conventional centrality measures. Structural coverage and network connectedness therefore provided different summaries of node position.</w:t>
      </w:r>
    </w:p>
    <w:p w14:paraId="6A88DDA7">
      <w:pPr>
        <w:rPr>
          <w:rFonts w:hint="eastAsia"/>
          <w:highlight w:val="none"/>
        </w:rPr>
      </w:pPr>
      <w:r>
        <w:rPr>
          <w:rFonts w:hint="eastAsia"/>
          <w:highlight w:val="none"/>
        </w:rPr>
        <w:t>Null-model analyses showed that the distinctive finding concerned control-node identity, not MDS size. A three-node minimum set was compatible with the network</w:t>
      </w:r>
      <w:r>
        <w:rPr>
          <w:rFonts w:hint="default" w:eastAsia="宋体"/>
          <w:highlight w:val="none"/>
          <w:lang w:val="en-US" w:eastAsia="zh-CN"/>
        </w:rPr>
        <w:t>’</w:t>
      </w:r>
      <w:r>
        <w:rPr>
          <w:rFonts w:hint="eastAsia"/>
          <w:highlight w:val="none"/>
        </w:rPr>
        <w:t>s degree sequence and was not itself exceptional. DIET22, SDQ18 and DASS14 nevertheless entered the observed solutions more frequently than expected from their node-specific null domination frequencies of 0.186, 0.252 and 0.246, respectively (Supplementary Fig. S19). The exact solution remained sensitive to network estimation. Sparser EBIC graphical lasso networks produced five- or six-node MDS solutions and altered membership rankings. The primary cross-validated network retained the three-node solution</w:t>
      </w:r>
      <w:r>
        <w:rPr>
          <w:rFonts w:hint="eastAsia" w:eastAsia="宋体"/>
          <w:highlight w:val="none"/>
          <w:lang w:val="en-US" w:eastAsia="zh-CN"/>
        </w:rPr>
        <w:t xml:space="preserve"> </w:t>
      </w:r>
      <w:r>
        <w:rPr>
          <w:rFonts w:hint="eastAsia"/>
          <w:highlight w:val="none"/>
        </w:rPr>
        <w:t>(Supplementary Table S17 and Fig. S20).</w:t>
      </w:r>
    </w:p>
    <w:p w14:paraId="3C6D60BB">
      <w:pPr>
        <w:rPr>
          <w:rFonts w:hint="eastAsia"/>
          <w:highlight w:val="none"/>
        </w:rPr>
      </w:pPr>
      <w:r>
        <w:rPr>
          <w:rFonts w:hint="eastAsia"/>
          <w:highlight w:val="none"/>
        </w:rPr>
        <w:t>At the broader domain level, diet and broad SDQ difficulties occupied the strongest structural-control positions, emotional distress and problematic digital use formed an intermediate layer, and physical activity and insomnia occupied the weakest positions. This static architecture did not reproduce the longitudinal hierarchy. Emotional distress held an intermediate structural position but occupied the leading CLPN net source position. Problematic digital use remained intermediate in the static network and showed no significant CLPN net directionality</w:t>
      </w:r>
      <w:r>
        <w:rPr>
          <w:rFonts w:hint="eastAsia" w:eastAsia="宋体"/>
          <w:highlight w:val="none"/>
          <w:lang w:val="en-US" w:eastAsia="zh-CN"/>
        </w:rPr>
        <w:t>.</w:t>
      </w:r>
      <w:r>
        <w:rPr>
          <w:rFonts w:hint="eastAsia"/>
          <w:highlight w:val="none"/>
        </w:rPr>
        <w:t xml:space="preserve"> Static structural leverage and CLPN net directionality captured different dimensions of the symptom system.</w:t>
      </w:r>
    </w:p>
    <w:p w14:paraId="60D119E2">
      <w:pPr>
        <w:rPr>
          <w:rFonts w:hint="eastAsia"/>
          <w:highlight w:val="none"/>
        </w:rPr>
      </w:pPr>
      <w:r>
        <w:rPr>
          <w:rFonts w:hint="eastAsia"/>
          <w:highlight w:val="none"/>
        </w:rPr>
        <w:t>The broader six-domain architecture remained highly stable across complementary robustness checks. Six community-detection algorithms recovered the same domain organisation (adjusted Rand index, 0.61 to 0.73; normalised mutual information, 0.78 to 0.84), with the Leiden algorithm returning exactly six communities</w:t>
      </w:r>
      <w:r>
        <w:rPr>
          <w:rFonts w:hint="eastAsia" w:eastAsia="宋体"/>
          <w:highlight w:val="none"/>
          <w:vertAlign w:val="superscript"/>
          <w:lang w:val="en-US" w:eastAsia="zh-CN"/>
        </w:rPr>
        <w:t>31</w:t>
      </w:r>
      <w:r>
        <w:rPr>
          <w:rFonts w:hint="eastAsia"/>
          <w:highlight w:val="none"/>
        </w:rPr>
        <w:t>. Among the 89 items that could be compared across waves, community agreement remained high (adjusted Rand index = 0.86), with only eight items changing community. Bridge centrality and structural-control frequency also identified different nodes</w:t>
      </w:r>
      <w:r>
        <w:rPr>
          <w:rFonts w:hint="eastAsia" w:eastAsia="宋体"/>
          <w:highlight w:val="none"/>
          <w:vertAlign w:val="superscript"/>
          <w:lang w:val="en-US" w:eastAsia="zh-CN"/>
        </w:rPr>
        <w:t>32</w:t>
      </w:r>
      <w:r>
        <w:rPr>
          <w:rFonts w:hint="eastAsia"/>
          <w:highlight w:val="none"/>
        </w:rPr>
        <w:t>, reinforcing the distinction between symptoms that connect domains and those that govern coverage of the wider network. Together, these findings support the stability of the six-domain architecture and its distinct structural-control dimension, while localising estimator sensitivity to the membership of individual MDS solutions.</w:t>
      </w:r>
    </w:p>
    <w:p w14:paraId="3CA85840">
      <w:pPr>
        <w:jc w:val="center"/>
        <w:rPr>
          <w:rFonts w:hint="eastAsia" w:eastAsia="宋体"/>
          <w:highlight w:val="none"/>
          <w:lang w:eastAsia="zh-CN"/>
        </w:rPr>
      </w:pPr>
      <w:r>
        <w:rPr>
          <w:rFonts w:hint="eastAsia" w:eastAsia="宋体"/>
          <w:highlight w:val="none"/>
          <w:lang w:eastAsia="zh-CN"/>
        </w:rPr>
        <w:drawing>
          <wp:inline distT="0" distB="0" distL="114300" distR="114300">
            <wp:extent cx="5626735" cy="2569210"/>
            <wp:effectExtent l="0" t="0" r="12065" b="8890"/>
            <wp:docPr id="8" name="图片 8" descr="Figure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Figure_3"/>
                    <pic:cNvPicPr>
                      <a:picLocks noChangeAspect="1"/>
                    </pic:cNvPicPr>
                  </pic:nvPicPr>
                  <pic:blipFill>
                    <a:blip r:embed="rId10"/>
                    <a:stretch>
                      <a:fillRect/>
                    </a:stretch>
                  </pic:blipFill>
                  <pic:spPr>
                    <a:xfrm>
                      <a:off x="0" y="0"/>
                      <a:ext cx="5626735" cy="2569210"/>
                    </a:xfrm>
                    <a:prstGeom prst="rect">
                      <a:avLst/>
                    </a:prstGeom>
                  </pic:spPr>
                </pic:pic>
              </a:graphicData>
            </a:graphic>
          </wp:inline>
        </w:drawing>
      </w:r>
    </w:p>
    <w:p w14:paraId="780E4E90">
      <w:pPr>
        <w:pStyle w:val="165"/>
        <w:keepLines/>
        <w:rPr>
          <w:rFonts w:hint="eastAsia" w:eastAsia="宋体"/>
          <w:highlight w:val="none"/>
          <w:lang w:val="en-US" w:eastAsia="zh-CN"/>
        </w:rPr>
      </w:pPr>
      <w:r>
        <w:rPr>
          <w:b/>
          <w:highlight w:val="none"/>
        </w:rPr>
        <w:t xml:space="preserve">Figure 3 | </w:t>
      </w:r>
      <w:r>
        <w:rPr>
          <w:highlight w:val="none"/>
        </w:rPr>
        <w:t xml:space="preserve">Baseline structural network and structural-control profile in SEARCH. (a) Gaussian graphical model showing the 500 largest edges; node colour denotes domain, node size denotes strength and rings identify the three highest control-frequency nodes. (b) Node strength versus control frequency. (c) </w:t>
      </w:r>
      <w:r>
        <w:rPr>
          <w:rFonts w:hint="eastAsia"/>
          <w:highlight w:val="none"/>
        </w:rPr>
        <w:t>Average module control strength (AMCS) across the six domains</w:t>
      </w:r>
      <w:r>
        <w:rPr>
          <w:highlight w:val="none"/>
        </w:rPr>
        <w:t xml:space="preserve">. </w:t>
      </w:r>
      <w:r>
        <w:rPr>
          <w:rFonts w:hint="eastAsia"/>
          <w:highlight w:val="none"/>
        </w:rPr>
        <w:t>Structural-control quantities describe the topology of the baseline undirected graph.</w:t>
      </w:r>
      <w:r>
        <w:rPr>
          <w:highlight w:val="none"/>
        </w:rPr>
        <w:t xml:space="preserve"> N = 10,356.</w:t>
      </w:r>
      <w:r>
        <w:rPr>
          <w:rFonts w:hint="eastAsia" w:eastAsia="宋体"/>
          <w:highlight w:val="none"/>
          <w:lang w:val="en-US" w:eastAsia="zh-CN"/>
        </w:rPr>
        <w:t xml:space="preserve"> All analyses used the full estimated network.</w:t>
      </w:r>
    </w:p>
    <w:p w14:paraId="616069FF">
      <w:pPr>
        <w:pStyle w:val="5"/>
        <w:keepNext/>
        <w:rPr>
          <w:rFonts w:hint="default" w:eastAsia="宋体"/>
          <w:highlight w:val="none"/>
          <w:lang w:val="en-US" w:eastAsia="zh-CN"/>
        </w:rPr>
      </w:pPr>
      <w:r>
        <w:rPr>
          <w:rFonts w:hint="eastAsia"/>
          <w:highlight w:val="none"/>
        </w:rPr>
        <w:t>Bayesian and CLPN rankings partially align</w:t>
      </w:r>
    </w:p>
    <w:p w14:paraId="30441247">
      <w:pPr>
        <w:rPr>
          <w:rFonts w:hint="eastAsia"/>
          <w:highlight w:val="none"/>
        </w:rPr>
      </w:pPr>
      <w:r>
        <w:rPr>
          <w:rFonts w:hint="eastAsia"/>
          <w:highlight w:val="none"/>
        </w:rPr>
        <w:t>An exploratory Bayesian directed acyclic graph fitted to the six Wave 1 SEARCH domain scores was used to compare Bayesian net out-degree with CLPN ordering. DASS and ISI shared the highest Bayesian net out-degree (+2). DASS had outgoing edges to SDQ, CIAS and DIET. CIAS had balanced in- and out-degree. DIET had the most negative Bayesian net out-degree (−2; Fig. 4). The most stable directed edges were CIAS→ACT (bootstrap frequency = 0.970), DASS→SDQ (0.910), CIAS→DIET (0.905), DASS→DIET (0.855) and DASS→CIAS (0.850). Three of these five leading edges originated from DASS.</w:t>
      </w:r>
    </w:p>
    <w:p w14:paraId="3A12BB99">
      <w:pPr>
        <w:rPr>
          <w:rFonts w:hint="eastAsia"/>
          <w:highlight w:val="none"/>
        </w:rPr>
      </w:pPr>
      <w:r>
        <w:rPr>
          <w:rFonts w:hint="eastAsia"/>
          <w:highlight w:val="none"/>
        </w:rPr>
        <w:t>Across the six domains, Bayesian net out-degree was positively correlated with CLPN net directionality, but the estimate was imprecise (Pearson r = 0.750, two-sided P = 0.086; bootstrap 95% CI −0.604 to 0.995). DASS shared the highest Bayesian net out-degree with ISI and occupied the leading CLPN net source position. All seven skeleton edges were reversible in the CPDAG (Supplementary Tables S15–S16). These results show partial correspondence in domain ordering between the Bayesian and CLPN models.</w:t>
      </w:r>
    </w:p>
    <w:p w14:paraId="1BEFD434">
      <w:pPr>
        <w:rPr>
          <w:rFonts w:hint="eastAsia" w:eastAsia="宋体"/>
          <w:highlight w:val="none"/>
          <w:lang w:eastAsia="zh-CN"/>
        </w:rPr>
      </w:pPr>
      <w:r>
        <w:rPr>
          <w:rFonts w:hint="eastAsia" w:eastAsia="宋体"/>
          <w:highlight w:val="none"/>
          <w:lang w:eastAsia="zh-CN"/>
        </w:rPr>
        <w:drawing>
          <wp:inline distT="0" distB="0" distL="114300" distR="114300">
            <wp:extent cx="5797550" cy="2825750"/>
            <wp:effectExtent l="0" t="0" r="6350" b="6350"/>
            <wp:docPr id="9" name="图片 9" descr="Figure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Figure_4"/>
                    <pic:cNvPicPr>
                      <a:picLocks noChangeAspect="1"/>
                    </pic:cNvPicPr>
                  </pic:nvPicPr>
                  <pic:blipFill>
                    <a:blip r:embed="rId11"/>
                    <a:stretch>
                      <a:fillRect/>
                    </a:stretch>
                  </pic:blipFill>
                  <pic:spPr>
                    <a:xfrm>
                      <a:off x="0" y="0"/>
                      <a:ext cx="5797550" cy="2825750"/>
                    </a:xfrm>
                    <a:prstGeom prst="rect">
                      <a:avLst/>
                    </a:prstGeom>
                  </pic:spPr>
                </pic:pic>
              </a:graphicData>
            </a:graphic>
          </wp:inline>
        </w:drawing>
      </w:r>
    </w:p>
    <w:p w14:paraId="51685B71">
      <w:pPr>
        <w:pStyle w:val="165"/>
        <w:keepLines/>
        <w:rPr>
          <w:rFonts w:hint="eastAsia"/>
          <w:highlight w:val="none"/>
        </w:rPr>
      </w:pPr>
      <w:r>
        <w:rPr>
          <w:rFonts w:hint="eastAsia"/>
          <w:b/>
          <w:bCs/>
          <w:highlight w:val="none"/>
        </w:rPr>
        <w:t>Figure 4</w:t>
      </w:r>
      <w:r>
        <w:rPr>
          <w:rFonts w:hint="eastAsia"/>
          <w:highlight w:val="none"/>
        </w:rPr>
        <w:t xml:space="preserve"> | Exploratory Bayesian net out-degree and CLPN net directionality in SEARCH. (a) Exploratory Bayesian directed acyclic graph learned from tertile-discretised baseline domain scores; edge width denotes bootstrap stability. (b) Bootstrap frequencies of the eight most stable directed edges. (c) Association between Bayesian net out-degree and longitudinal cross-lagged panel network net directionality across the six SEARCH domains. CIAS, generalised problematic digital use; DASS, emotional distress; SDQ, broad difficulties; DIET, diet; ISI, insomnia; ACT, physical activity; DAG, directed acyclic graph; CLPN, cross-lagged panel network. N = 6,092 for both the baseline DAG and the longitudinal CLPN; panel c contains six paired domain-level estimates.</w:t>
      </w:r>
    </w:p>
    <w:p w14:paraId="5150652D">
      <w:pPr>
        <w:pStyle w:val="5"/>
        <w:keepNext/>
        <w:rPr>
          <w:highlight w:val="none"/>
        </w:rPr>
      </w:pPr>
      <w:r>
        <w:rPr>
          <w:rFonts w:hint="eastAsia"/>
          <w:highlight w:val="none"/>
        </w:rPr>
        <w:t>Emotion ranks highest in network strength</w:t>
      </w:r>
      <w:r>
        <w:rPr>
          <w:rFonts w:hint="eastAsia" w:eastAsia="宋体"/>
          <w:highlight w:val="none"/>
          <w:lang w:val="en-US" w:eastAsia="zh-CN"/>
        </w:rPr>
        <w:t xml:space="preserve"> </w:t>
      </w:r>
      <w:r>
        <w:rPr>
          <w:rFonts w:hint="eastAsia"/>
          <w:highlight w:val="none"/>
        </w:rPr>
        <w:t>in GMP</w:t>
      </w:r>
    </w:p>
    <w:p w14:paraId="7FE38CE5">
      <w:pPr>
        <w:rPr>
          <w:rFonts w:hint="eastAsia" w:eastAsia="宋体"/>
          <w:highlight w:val="none"/>
          <w:lang w:val="en-US" w:eastAsia="zh-CN"/>
        </w:rPr>
      </w:pPr>
      <w:r>
        <w:rPr>
          <w:rFonts w:hint="eastAsia" w:eastAsia="宋体"/>
          <w:highlight w:val="none"/>
          <w:lang w:val="en-US" w:eastAsia="zh-CN"/>
        </w:rPr>
        <w:t>W</w:t>
      </w:r>
      <w:r>
        <w:rPr>
          <w:rFonts w:hint="eastAsia"/>
          <w:highlight w:val="none"/>
        </w:rPr>
        <w:t xml:space="preserve">e examined whether the emotional prominence identified in SEARCH held under a different measurement system and across a much broader population. The Global Mind Project (GMP) analysis included 147,506 participants aged 18–24 years with complete data across six mapped domains from a pooled multinational sample. Emotion had the highest undirected network strength (0.726, 95% CI 0.714 to 0.738). It was followed by diet (0.504, 95% CI 0.493 to 0.515), activity (0.444, 95% CI 0.434 to 0.455), broad behavioural difficulties (0.409, 95% CI 0.396 to 0.424) and sleep (0.409, 95% CI 0.401 to 0.420). At the opposite end of the network, the </w:t>
      </w:r>
      <w:r>
        <w:rPr>
          <w:rFonts w:hint="eastAsia" w:eastAsia="宋体"/>
          <w:highlight w:val="none"/>
          <w:lang w:eastAsia="zh-CN"/>
        </w:rPr>
        <w:t>social media</w:t>
      </w:r>
      <w:r>
        <w:rPr>
          <w:rFonts w:hint="eastAsia"/>
          <w:highlight w:val="none"/>
        </w:rPr>
        <w:t xml:space="preserve">-frequency proxy had the lowest strength (0.075, 95% CI 0.065 to 0.085; Fig. 5), placing </w:t>
      </w:r>
      <w:r>
        <w:rPr>
          <w:rFonts w:hint="eastAsia" w:eastAsia="宋体"/>
          <w:highlight w:val="none"/>
          <w:lang w:eastAsia="zh-CN"/>
        </w:rPr>
        <w:t>social media</w:t>
      </w:r>
      <w:r>
        <w:rPr>
          <w:rFonts w:hint="eastAsia"/>
          <w:highlight w:val="none"/>
        </w:rPr>
        <w:t xml:space="preserve"> frequency at the periphery of the mapped health system.</w:t>
      </w:r>
      <w:r>
        <w:rPr>
          <w:rFonts w:hint="eastAsia" w:eastAsia="宋体"/>
          <w:highlight w:val="none"/>
          <w:lang w:val="en-US" w:eastAsia="zh-CN"/>
        </w:rPr>
        <w:t xml:space="preserve"> </w:t>
      </w:r>
    </w:p>
    <w:p w14:paraId="714298D6">
      <w:pPr>
        <w:rPr>
          <w:rFonts w:hint="eastAsia" w:eastAsia="宋体"/>
          <w:highlight w:val="none"/>
          <w:lang w:val="en-US" w:eastAsia="zh-CN"/>
        </w:rPr>
      </w:pPr>
      <w:r>
        <w:rPr>
          <w:rFonts w:hint="eastAsia" w:eastAsia="宋体"/>
          <w:highlight w:val="none"/>
          <w:lang w:val="en-US" w:eastAsia="zh-CN"/>
        </w:rPr>
        <w:t>For the construct-level comparison, a corresponding six-domain SEARCH network was derived from the baseline domain scores. After conventional undirected strength was normalised within each of these separate six-domain comparison networks, emotion ranked first in both SEARCH and GMP. In SEARCH, emotion was followed by generalised problematic digital use, insomnia, broad SDQ difficulties, diet and physical activity. Social media frequency was the weakest domain in GMP (Fig. 5b). This descriptive strength comparison was distinct from the item-level structural-control analysis reported above.</w:t>
      </w:r>
    </w:p>
    <w:p w14:paraId="7008060E">
      <w:pPr>
        <w:rPr>
          <w:rFonts w:hint="eastAsia"/>
          <w:highlight w:val="none"/>
        </w:rPr>
      </w:pPr>
      <w:r>
        <w:rPr>
          <w:rFonts w:hint="eastAsia"/>
          <w:highlight w:val="none"/>
        </w:rPr>
        <w:t>Emotion ranked first in both six-domain networks. The screen-related domain ranked second in SEARCH and last in GMP, distinguishing the network positions of</w:t>
      </w:r>
      <w:r>
        <w:rPr>
          <w:rFonts w:hint="eastAsia" w:eastAsia="宋体"/>
          <w:highlight w:val="none"/>
          <w:lang w:eastAsia="zh-CN"/>
        </w:rPr>
        <w:t xml:space="preserve"> problematic use</w:t>
      </w:r>
      <w:r>
        <w:rPr>
          <w:rFonts w:hint="eastAsia"/>
          <w:highlight w:val="none"/>
        </w:rPr>
        <w:t xml:space="preserve"> symptoms and </w:t>
      </w:r>
      <w:r>
        <w:rPr>
          <w:rFonts w:hint="eastAsia" w:eastAsia="宋体"/>
          <w:highlight w:val="none"/>
          <w:lang w:eastAsia="zh-CN"/>
        </w:rPr>
        <w:t>social media</w:t>
      </w:r>
      <w:r>
        <w:rPr>
          <w:rFonts w:hint="eastAsia"/>
          <w:highlight w:val="none"/>
        </w:rPr>
        <w:t xml:space="preserve"> frequency.</w:t>
      </w:r>
    </w:p>
    <w:p w14:paraId="6B2BABA3">
      <w:pPr>
        <w:jc w:val="center"/>
        <w:rPr>
          <w:rFonts w:hint="eastAsia" w:eastAsia="宋体"/>
          <w:highlight w:val="none"/>
          <w:lang w:eastAsia="zh-CN"/>
        </w:rPr>
      </w:pPr>
      <w:r>
        <w:rPr>
          <w:rFonts w:hint="eastAsia" w:eastAsia="宋体"/>
          <w:highlight w:val="none"/>
          <w:lang w:eastAsia="zh-CN"/>
        </w:rPr>
        <w:drawing>
          <wp:inline distT="0" distB="0" distL="114300" distR="114300">
            <wp:extent cx="5507990" cy="2944495"/>
            <wp:effectExtent l="0" t="0" r="3810" b="1905"/>
            <wp:docPr id="10" name="图片 10" descr="Figure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Figure_5"/>
                    <pic:cNvPicPr>
                      <a:picLocks noChangeAspect="1"/>
                    </pic:cNvPicPr>
                  </pic:nvPicPr>
                  <pic:blipFill>
                    <a:blip r:embed="rId12"/>
                    <a:stretch>
                      <a:fillRect/>
                    </a:stretch>
                  </pic:blipFill>
                  <pic:spPr>
                    <a:xfrm>
                      <a:off x="0" y="0"/>
                      <a:ext cx="5507990" cy="2944495"/>
                    </a:xfrm>
                    <a:prstGeom prst="rect">
                      <a:avLst/>
                    </a:prstGeom>
                  </pic:spPr>
                </pic:pic>
              </a:graphicData>
            </a:graphic>
          </wp:inline>
        </w:drawing>
      </w:r>
    </w:p>
    <w:p w14:paraId="47D1362E">
      <w:pPr>
        <w:pStyle w:val="165"/>
        <w:keepLines/>
        <w:rPr>
          <w:rFonts w:hint="default" w:eastAsia="宋体"/>
          <w:highlight w:val="none"/>
          <w:lang w:val="en-US" w:eastAsia="zh-CN"/>
        </w:rPr>
      </w:pPr>
      <w:r>
        <w:rPr>
          <w:b/>
          <w:highlight w:val="none"/>
        </w:rPr>
        <w:t xml:space="preserve">Figure 5 | </w:t>
      </w:r>
      <w:r>
        <w:rPr>
          <w:rFonts w:hint="eastAsia"/>
          <w:highlight w:val="none"/>
        </w:rPr>
        <w:t xml:space="preserve">Cross-sectional construct-level comparison in </w:t>
      </w:r>
      <w:r>
        <w:rPr>
          <w:rFonts w:hint="eastAsia" w:eastAsia="宋体"/>
          <w:highlight w:val="none"/>
          <w:lang w:val="en-US" w:eastAsia="zh-CN"/>
        </w:rPr>
        <w:t>GMP</w:t>
      </w:r>
      <w:r>
        <w:rPr>
          <w:rFonts w:hint="eastAsia"/>
          <w:highlight w:val="none"/>
        </w:rPr>
        <w:t>. (a) Six-domain Gaussian graphical model in young adults; node size denotes domain strength. (b) Within-cohort normalised domain strength in the six-domain GMP network and a corresponding six-domain network derived from aggregated baseline SEARCH scores. Domain strengths were divided by the maximum strength within each cohort, so that the strongest domain was assigned a value of 1. (c) GMP domain strength with 95% bootstrap confidence intervals.</w:t>
      </w:r>
      <w:r>
        <w:rPr>
          <w:rFonts w:hint="eastAsia" w:eastAsia="宋体"/>
          <w:highlight w:val="none"/>
          <w:lang w:val="en-US" w:eastAsia="zh-CN"/>
        </w:rPr>
        <w:t xml:space="preserve"> </w:t>
      </w:r>
      <w:r>
        <w:rPr>
          <w:rFonts w:hint="eastAsia"/>
          <w:highlight w:val="none"/>
        </w:rPr>
        <w:t>In SEARCH, the screen-related domain was represented by CIAS-R</w:t>
      </w:r>
      <w:r>
        <w:rPr>
          <w:rFonts w:hint="eastAsia" w:eastAsia="宋体"/>
          <w:highlight w:val="none"/>
          <w:lang w:eastAsia="zh-CN"/>
        </w:rPr>
        <w:t xml:space="preserve"> problematic use</w:t>
      </w:r>
      <w:r>
        <w:rPr>
          <w:rFonts w:hint="eastAsia"/>
          <w:highlight w:val="none"/>
        </w:rPr>
        <w:t xml:space="preserve"> symptoms; in GMP, it was represented by </w:t>
      </w:r>
      <w:r>
        <w:rPr>
          <w:rFonts w:hint="eastAsia" w:eastAsia="宋体"/>
          <w:highlight w:val="none"/>
          <w:lang w:eastAsia="zh-CN"/>
        </w:rPr>
        <w:t>social media</w:t>
      </w:r>
      <w:r>
        <w:rPr>
          <w:rFonts w:hint="eastAsia"/>
          <w:highlight w:val="none"/>
        </w:rPr>
        <w:t xml:space="preserve"> frequency. N = 147,506 participants aged 18–24 years</w:t>
      </w:r>
      <w:r>
        <w:rPr>
          <w:rFonts w:hint="eastAsia" w:eastAsia="宋体"/>
          <w:highlight w:val="none"/>
          <w:lang w:val="en-US" w:eastAsia="zh-CN"/>
        </w:rPr>
        <w:t xml:space="preserve"> </w:t>
      </w:r>
      <w:r>
        <w:rPr>
          <w:rFonts w:hint="eastAsia"/>
          <w:highlight w:val="none"/>
        </w:rPr>
        <w:t>in the pooled multinational GMP sample.</w:t>
      </w:r>
      <w:r>
        <w:rPr>
          <w:rFonts w:hint="eastAsia" w:eastAsia="宋体"/>
          <w:highlight w:val="none"/>
          <w:lang w:val="en-US" w:eastAsia="zh-CN"/>
        </w:rPr>
        <w:t xml:space="preserve"> BEH, broad behavioural difficulties; SM, social media frequency. </w:t>
      </w:r>
    </w:p>
    <w:p w14:paraId="23B0B24A">
      <w:pPr>
        <w:pStyle w:val="3"/>
        <w:keepNext/>
        <w:rPr>
          <w:highlight w:val="none"/>
        </w:rPr>
      </w:pPr>
      <w:r>
        <w:rPr>
          <w:highlight w:val="none"/>
        </w:rPr>
        <w:t>Discussion</w:t>
      </w:r>
    </w:p>
    <w:p w14:paraId="22F2CB06">
      <w:pPr>
        <w:rPr>
          <w:rFonts w:hint="eastAsia"/>
          <w:highlight w:val="none"/>
        </w:rPr>
      </w:pPr>
      <w:r>
        <w:rPr>
          <w:rFonts w:hint="eastAsia"/>
          <w:highlight w:val="none"/>
        </w:rPr>
        <w:t>In SEARCH, emotional distress had the largest positive net-directionality point estimate and positively predicted later problematic digital use; the reciprocal coefficient was also positive, while the confidence interval for CIAS net directionality included zero. In MCS, hyperactivity/inattention and conduct problems positively predicted later social-media use and gaming, whereas internalising distress showed small negative direct coefficients for both behaviours. Thus, the psychological domains associated with later digital use differed between cohorts and between problematic-use symptoms and reported usage duration.</w:t>
      </w:r>
    </w:p>
    <w:p w14:paraId="6BE2842F">
      <w:pPr>
        <w:rPr>
          <w:rFonts w:hint="eastAsia"/>
          <w:highlight w:val="none"/>
        </w:rPr>
      </w:pPr>
      <w:r>
        <w:rPr>
          <w:rFonts w:hint="eastAsia"/>
          <w:highlight w:val="none"/>
        </w:rPr>
        <w:t xml:space="preserve">The external analyses clarify the construct boundary. SEARCH assessed generalised problematic internet and digital-media use with the CIAS-R. MCS measured hours of </w:t>
      </w:r>
      <w:r>
        <w:rPr>
          <w:rFonts w:hint="eastAsia" w:eastAsia="宋体"/>
          <w:highlight w:val="none"/>
          <w:lang w:eastAsia="zh-CN"/>
        </w:rPr>
        <w:t>social media</w:t>
      </w:r>
      <w:r>
        <w:rPr>
          <w:rFonts w:hint="eastAsia"/>
          <w:highlight w:val="none"/>
        </w:rPr>
        <w:t xml:space="preserve"> use and gaming, and GMP used </w:t>
      </w:r>
      <w:r>
        <w:rPr>
          <w:rFonts w:hint="eastAsia" w:eastAsia="宋体"/>
          <w:highlight w:val="none"/>
          <w:lang w:eastAsia="zh-CN"/>
        </w:rPr>
        <w:t>social media</w:t>
      </w:r>
      <w:r>
        <w:rPr>
          <w:rFonts w:hint="eastAsia"/>
          <w:highlight w:val="none"/>
        </w:rPr>
        <w:t xml:space="preserve"> frequency. These measures provide construct-level convergence across related forms of digital use but do not constitute instrument-level replication. MCS provided the longitudinal exposure-based comparison: </w:t>
      </w:r>
      <w:r>
        <w:rPr>
          <w:rFonts w:hint="eastAsia" w:eastAsia="宋体"/>
          <w:highlight w:val="none"/>
          <w:lang w:eastAsia="zh-CN"/>
        </w:rPr>
        <w:t>social media</w:t>
      </w:r>
      <w:r>
        <w:rPr>
          <w:rFonts w:hint="eastAsia"/>
          <w:highlight w:val="none"/>
        </w:rPr>
        <w:t xml:space="preserve"> use and gaming occupied CLPN net sink positions. In the pooled GMP sample, emotion had the highest cross-sectional network strength and </w:t>
      </w:r>
      <w:r>
        <w:rPr>
          <w:rFonts w:hint="eastAsia" w:eastAsia="宋体"/>
          <w:highlight w:val="none"/>
          <w:lang w:eastAsia="zh-CN"/>
        </w:rPr>
        <w:t>social media</w:t>
      </w:r>
      <w:r>
        <w:rPr>
          <w:rFonts w:hint="eastAsia"/>
          <w:highlight w:val="none"/>
        </w:rPr>
        <w:t xml:space="preserve"> frequency the lowest. This ordering applied specifically to the GMP measure and sample. It does not indicate that all digital-use constructs occupy peripheral network positions; CIAS ranked second in the corresponding six-domain SEARCH network.</w:t>
      </w:r>
    </w:p>
    <w:p w14:paraId="255EF970">
      <w:pPr>
        <w:rPr>
          <w:rFonts w:hint="eastAsia"/>
          <w:highlight w:val="none"/>
        </w:rPr>
      </w:pPr>
      <w:r>
        <w:rPr>
          <w:rFonts w:hint="eastAsia"/>
          <w:highlight w:val="none"/>
        </w:rPr>
        <w:t>This distinction changes how associations between digital use and mental health should be interpreted. Elevated problematic digital-use scores mark clinically relevant functional impairment and warrant assessment in their own right. Their network position also places digital use within the accompanying symptom burden, outside the leading predictive position. T</w:t>
      </w:r>
      <w:bookmarkStart w:id="0" w:name="_GoBack"/>
      <w:r>
        <w:rPr>
          <w:rFonts w:hint="eastAsia"/>
          <w:highlight w:val="none"/>
        </w:rPr>
        <w:t>he findings support assessing em</w:t>
      </w:r>
      <w:bookmarkEnd w:id="0"/>
      <w:r>
        <w:rPr>
          <w:rFonts w:hint="eastAsia"/>
          <w:highlight w:val="none"/>
        </w:rPr>
        <w:t>otional, attentional and conduct difficulties alongside digital engagement. Assessment of screen exposure alone would not capture this broader context.</w:t>
      </w:r>
      <w:r>
        <w:rPr>
          <w:rFonts w:hint="eastAsia" w:eastAsia="宋体"/>
          <w:highlight w:val="none"/>
          <w:lang w:val="en-US" w:eastAsia="zh-CN"/>
        </w:rPr>
        <w:t xml:space="preserve"> </w:t>
      </w:r>
      <w:r>
        <w:rPr>
          <w:rFonts w:hint="eastAsia"/>
          <w:highlight w:val="none"/>
        </w:rPr>
        <w:t>These estimates define prospective relations that can be tested in intervention and intensive longitudinal designs</w:t>
      </w:r>
      <w:r>
        <w:rPr>
          <w:rFonts w:hint="eastAsia" w:eastAsia="宋体"/>
          <w:highlight w:val="none"/>
          <w:vertAlign w:val="superscript"/>
          <w:lang w:val="en-US" w:eastAsia="zh-CN"/>
        </w:rPr>
        <w:t>25, 33-35</w:t>
      </w:r>
      <w:r>
        <w:rPr>
          <w:rFonts w:hint="eastAsia"/>
          <w:highlight w:val="none"/>
        </w:rPr>
        <w:t>.</w:t>
      </w:r>
    </w:p>
    <w:p w14:paraId="4CDBEEEB">
      <w:pPr>
        <w:rPr>
          <w:rFonts w:hint="eastAsia"/>
          <w:highlight w:val="none"/>
        </w:rPr>
      </w:pPr>
      <w:r>
        <w:rPr>
          <w:rFonts w:hint="eastAsia"/>
          <w:highlight w:val="none"/>
        </w:rPr>
        <w:t>The comparison of static and temporal models provides a second contribution. MDS analysis identified diet, SDQ and emotional items whose neighbourhoods covered the baseline graph; DASS occupied the leading domain-level CLPN net source position. Control frequency was only weakly related to node strength, and average module control strength did not reproduce CLPN net directionality. Graph topology and longitudinal prediction identified different dimensions of the symptom system. Structural-control nodes represent features of an estimated cross-sectional graph and should not be interpreted as causal intervention targets. Their value lies in describing sparse coverage and architecture; temporal or causal prioritisation requires longitudinal or experimental evidence</w:t>
      </w:r>
      <w:r>
        <w:rPr>
          <w:rFonts w:hint="eastAsia"/>
          <w:highlight w:val="none"/>
          <w:vertAlign w:val="superscript"/>
        </w:rPr>
        <w:t>20</w:t>
      </w:r>
      <w:r>
        <w:rPr>
          <w:rFonts w:hint="eastAsia" w:eastAsia="宋体"/>
          <w:highlight w:val="none"/>
          <w:vertAlign w:val="superscript"/>
          <w:lang w:val="en-US" w:eastAsia="zh-CN"/>
        </w:rPr>
        <w:t>-</w:t>
      </w:r>
      <w:r>
        <w:rPr>
          <w:rFonts w:hint="eastAsia"/>
          <w:highlight w:val="none"/>
          <w:vertAlign w:val="superscript"/>
        </w:rPr>
        <w:t>25</w:t>
      </w:r>
      <w:r>
        <w:rPr>
          <w:rFonts w:hint="eastAsia"/>
          <w:highlight w:val="none"/>
        </w:rPr>
        <w:t xml:space="preserve">. </w:t>
      </w:r>
    </w:p>
    <w:p w14:paraId="2C95E49D">
      <w:pPr>
        <w:rPr>
          <w:rFonts w:hint="eastAsia"/>
          <w:highlight w:val="none"/>
        </w:rPr>
      </w:pPr>
      <w:r>
        <w:rPr>
          <w:rFonts w:hint="eastAsia"/>
          <w:highlight w:val="none"/>
        </w:rPr>
        <w:t>The exploratory Bayesian analysis provided an auxiliary within-sample comparison. DASS and ISI shared the highest Bayesian net out-degree, but all skeleton edges were reversible in the CPDAG; the analysis therefore did not independently validate the longitudinal directions.</w:t>
      </w:r>
    </w:p>
    <w:p w14:paraId="73068F2D">
      <w:pPr>
        <w:rPr>
          <w:rFonts w:hint="eastAsia"/>
          <w:highlight w:val="none"/>
        </w:rPr>
      </w:pPr>
      <w:r>
        <w:rPr>
          <w:rFonts w:hint="eastAsia"/>
          <w:highlight w:val="none"/>
        </w:rPr>
        <w:t>Several properties of the data define the scope of inference. Because the SEARCH model used two waves and estimated between-person lagged prediction, it cannot separate stable person differences from within-person dynamics</w:t>
      </w:r>
      <w:r>
        <w:rPr>
          <w:rFonts w:hint="eastAsia" w:eastAsia="宋体"/>
          <w:highlight w:val="none"/>
          <w:vertAlign w:val="superscript"/>
          <w:lang w:val="en-US" w:eastAsia="zh-CN"/>
        </w:rPr>
        <w:t>36, 37</w:t>
      </w:r>
      <w:r>
        <w:rPr>
          <w:rFonts w:hint="eastAsia"/>
          <w:highlight w:val="none"/>
        </w:rPr>
        <w:t>. Linkage retained 6,092 of 10,356 baseline participants, and the retained sample had lower baseline symptom burden, which may attenuate or alter longitudinal estimates. The broad SDQ domain included emotional, conduct, hyperactivity/inattention, peer and prosocial items, with items 7, 11, 14, 21 and 25 reverse-scored; DASS→SDQ paths therefore represent prediction of broad difficulties rather than conduct-specific change and partly span overlapping affective content. Diet response options changed between waves. Diet scores were standardised within wave, and a sensitivity analysis omitted the diet domain. MCS used different internalising instruments at ages 14 and 17, precluding scale-level invariance testing. The MCS estimates describe multivariable prospective ordering within the linked complete-case sample.</w:t>
      </w:r>
      <w:r>
        <w:rPr>
          <w:rFonts w:hint="eastAsia" w:eastAsia="宋体"/>
          <w:highlight w:val="none"/>
          <w:lang w:val="en-US" w:eastAsia="zh-CN"/>
        </w:rPr>
        <w:t xml:space="preserve"> </w:t>
      </w:r>
      <w:r>
        <w:rPr>
          <w:rFonts w:hint="eastAsia"/>
          <w:highlight w:val="none"/>
        </w:rPr>
        <w:t>Finally, the pooled Global Mind Project analysis does not estimate country-specific networks and remains cross-sectional.</w:t>
      </w:r>
    </w:p>
    <w:p w14:paraId="79508C0A">
      <w:pPr>
        <w:rPr>
          <w:highlight w:val="none"/>
        </w:rPr>
      </w:pPr>
      <w:r>
        <w:rPr>
          <w:rFonts w:hint="eastAsia"/>
          <w:highlight w:val="none"/>
        </w:rPr>
        <w:t xml:space="preserve">The evidence supports a predictive reframing of adolescent digital-use research. Screen-related measures remained outside the leading CLPN net source positions. Problematic digital use showed no significant CLPN net directionality in SEARCH; </w:t>
      </w:r>
      <w:r>
        <w:rPr>
          <w:rFonts w:hint="eastAsia" w:eastAsia="宋体"/>
          <w:highlight w:val="none"/>
          <w:lang w:eastAsia="zh-CN"/>
        </w:rPr>
        <w:t>social media</w:t>
      </w:r>
      <w:r>
        <w:rPr>
          <w:rFonts w:hint="eastAsia"/>
          <w:highlight w:val="none"/>
        </w:rPr>
        <w:t xml:space="preserve"> use and gaming occupied CLPN net sink positions in MCS. Emotional distress occupied the leading CLPN net source position in SEARCH. Internalising and externalising difficulties occupied CLPN net source positions in MCS. Static structural-control analysis identified a different set of topological features. These findings position screen-related behaviours within the broader psychological context of adolescent mental health and support integrated assessment of digital engagement alongside emotional and behavioural difficulties.</w:t>
      </w:r>
    </w:p>
    <w:p w14:paraId="39573C8D">
      <w:pPr>
        <w:pStyle w:val="3"/>
        <w:keepNext/>
        <w:rPr>
          <w:highlight w:val="none"/>
        </w:rPr>
      </w:pPr>
      <w:r>
        <w:rPr>
          <w:highlight w:val="none"/>
        </w:rPr>
        <w:t>Methods</w:t>
      </w:r>
    </w:p>
    <w:p w14:paraId="22847992">
      <w:pPr>
        <w:pStyle w:val="5"/>
        <w:keepNext/>
        <w:rPr>
          <w:highlight w:val="none"/>
        </w:rPr>
      </w:pPr>
      <w:r>
        <w:rPr>
          <w:highlight w:val="none"/>
        </w:rPr>
        <w:t>Participants and study design</w:t>
      </w:r>
    </w:p>
    <w:p w14:paraId="5A2D41A8">
      <w:pPr>
        <w:rPr>
          <w:highlight w:val="none"/>
        </w:rPr>
      </w:pPr>
      <w:r>
        <w:rPr>
          <w:highlight w:val="none"/>
        </w:rPr>
        <w:t>Data came from the School-based Evaluation Advancing Response for Child Health (SEARCH), a mixed longitudinal school-based cohort conducted across 11 schools in three cities of Jiangsu Province, China</w:t>
      </w:r>
      <w:r>
        <w:rPr>
          <w:rFonts w:hint="eastAsia" w:eastAsia="宋体"/>
          <w:highlight w:val="none"/>
          <w:vertAlign w:val="superscript"/>
          <w:lang w:val="en-US" w:eastAsia="zh-CN"/>
        </w:rPr>
        <w:t>27</w:t>
      </w:r>
      <w:r>
        <w:rPr>
          <w:highlight w:val="none"/>
        </w:rPr>
        <w:t>. The baseline wave</w:t>
      </w:r>
      <w:r>
        <w:rPr>
          <w:rFonts w:hint="eastAsia" w:eastAsia="宋体"/>
          <w:highlight w:val="none"/>
          <w:lang w:val="en-US" w:eastAsia="zh-CN"/>
        </w:rPr>
        <w:t xml:space="preserve"> (Wave 1)</w:t>
      </w:r>
      <w:r>
        <w:rPr>
          <w:highlight w:val="none"/>
        </w:rPr>
        <w:t xml:space="preserve"> was collected from September 2022 to February 2023. Of 11,640 unique records in the analytic export, 1,284 (11.0%) were excluded because either the participant-level median item-response time or the within-participant standard deviation across the 104 analysed </w:t>
      </w:r>
      <w:r>
        <w:rPr>
          <w:rFonts w:hint="eastAsia"/>
          <w:highlight w:val="none"/>
        </w:rPr>
        <w:t>item scores</w:t>
      </w:r>
      <w:r>
        <w:rPr>
          <w:highlight w:val="none"/>
        </w:rPr>
        <w:t xml:space="preserve"> fell outside </w:t>
      </w:r>
      <w:r>
        <w:rPr>
          <w:rFonts w:hint="eastAsia"/>
          <w:highlight w:val="none"/>
        </w:rPr>
        <w:t>sample-derived bounds of 1.5 × the interquartile range.</w:t>
      </w:r>
      <w:r>
        <w:rPr>
          <w:highlight w:val="none"/>
        </w:rPr>
        <w:t xml:space="preserve"> The baseline sample comprised 10,356 adolescents (52.2% male; mean age 13.96 years, SD 2.42). </w:t>
      </w:r>
      <w:r>
        <w:rPr>
          <w:rFonts w:hint="eastAsia"/>
          <w:highlight w:val="none"/>
        </w:rPr>
        <w:t>The Wave 3 assessments were collected between 18 October and 13 December 2023. Among the 6,092 linked participants, the median interval between Wave 1 and Wave 3 was 336 days (IQR, 311–360; range, 247–414 days).</w:t>
      </w:r>
      <w:r>
        <w:rPr>
          <w:highlight w:val="none"/>
        </w:rPr>
        <w:t xml:space="preserve"> The study was approved by the Ethics Committee of the Affiliated Brain Hospital of Nanjing Medical University (approval 2022-KY095-02), was conducted in accordance with the Declaration of Helsinki, and obtained written informed consent from participating adolescents and their legal guardians.</w:t>
      </w:r>
    </w:p>
    <w:p w14:paraId="6D3ECAE2">
      <w:pPr>
        <w:pStyle w:val="5"/>
        <w:keepNext/>
        <w:rPr>
          <w:highlight w:val="none"/>
        </w:rPr>
      </w:pPr>
      <w:r>
        <w:rPr>
          <w:highlight w:val="none"/>
        </w:rPr>
        <w:t>SEARCH measures</w:t>
      </w:r>
    </w:p>
    <w:p w14:paraId="6EB7971B">
      <w:pPr>
        <w:rPr>
          <w:highlight w:val="none"/>
        </w:rPr>
      </w:pPr>
      <w:r>
        <w:rPr>
          <w:rFonts w:hint="eastAsia"/>
          <w:highlight w:val="none"/>
        </w:rPr>
        <w:t>We assessed six domains with 113 items. Problematic digital use was measured with the 26-item Chen Internet Addiction Scale-Revised (CIAS-R; response range 1–4), which assesses impairment across internet and digital-media use rather than smartphone-specific behaviour</w:t>
      </w:r>
      <w:r>
        <w:rPr>
          <w:rFonts w:hint="eastAsia"/>
          <w:highlight w:val="none"/>
          <w:vertAlign w:val="superscript"/>
        </w:rPr>
        <w:t>38</w:t>
      </w:r>
      <w:r>
        <w:rPr>
          <w:rFonts w:hint="eastAsia"/>
          <w:highlight w:val="none"/>
        </w:rPr>
        <w:t>. Emotional distress was measured with the 21-item Depression Anxiety Stress Scales (DASS-21; range 0–3)</w:t>
      </w:r>
      <w:r>
        <w:rPr>
          <w:rFonts w:hint="eastAsia"/>
          <w:highlight w:val="none"/>
          <w:vertAlign w:val="superscript"/>
        </w:rPr>
        <w:t>39</w:t>
      </w:r>
      <w:r>
        <w:rPr>
          <w:rFonts w:hint="eastAsia"/>
          <w:highlight w:val="none"/>
        </w:rPr>
        <w:t>. Broad difficulties were assessed with the 25 core SDQ items; six impact-supplement items were recorded separately</w:t>
      </w:r>
      <w:r>
        <w:rPr>
          <w:rFonts w:hint="eastAsia"/>
          <w:highlight w:val="none"/>
          <w:vertAlign w:val="superscript"/>
        </w:rPr>
        <w:t>40</w:t>
      </w:r>
      <w:r>
        <w:rPr>
          <w:rFonts w:hint="eastAsia"/>
          <w:highlight w:val="none"/>
        </w:rPr>
        <w:t>. Insomnia was measured with the seven-item Insomnia Severity Index (ISI; range 0–4)</w:t>
      </w:r>
      <w:r>
        <w:rPr>
          <w:rFonts w:hint="eastAsia"/>
          <w:highlight w:val="none"/>
          <w:vertAlign w:val="superscript"/>
        </w:rPr>
        <w:t>41</w:t>
      </w:r>
      <w:r>
        <w:rPr>
          <w:rFonts w:hint="eastAsia"/>
          <w:highlight w:val="none"/>
        </w:rPr>
        <w:t>. Diet was assessed using nine cohort-specific dietary-behaviour items and 13 items from the Chinese modified Yale Food Addiction Scale 2.0</w:t>
      </w:r>
      <w:r>
        <w:rPr>
          <w:rFonts w:hint="eastAsia"/>
          <w:highlight w:val="none"/>
          <w:vertAlign w:val="superscript"/>
        </w:rPr>
        <w:t>42, 43</w:t>
      </w:r>
      <w:r>
        <w:rPr>
          <w:rFonts w:hint="eastAsia"/>
          <w:highlight w:val="none"/>
        </w:rPr>
        <w:t>. Physical activity was assessed with six items; items 1–4 were adapted from the International Physical Activity Questionnaire-Short Form</w:t>
      </w:r>
      <w:r>
        <w:rPr>
          <w:rFonts w:hint="eastAsia"/>
          <w:highlight w:val="none"/>
          <w:vertAlign w:val="superscript"/>
        </w:rPr>
        <w:t>44, 45</w:t>
      </w:r>
      <w:r>
        <w:rPr>
          <w:rFonts w:hint="eastAsia"/>
          <w:highlight w:val="none"/>
        </w:rPr>
        <w:t>, and items 5–6 assessed recreational screen time. The exclusions used to construct the 104-item network are described below.</w:t>
      </w:r>
    </w:p>
    <w:p w14:paraId="1D999E95">
      <w:pPr>
        <w:rPr>
          <w:rFonts w:hint="eastAsia" w:eastAsia="宋体"/>
          <w:highlight w:val="none"/>
          <w:lang w:val="en-US" w:eastAsia="zh-CN"/>
        </w:rPr>
      </w:pPr>
      <w:r>
        <w:rPr>
          <w:rFonts w:hint="eastAsia" w:eastAsia="宋体"/>
          <w:highlight w:val="none"/>
          <w:lang w:val="en-US" w:eastAsia="zh-CN"/>
        </w:rPr>
        <w:t>Nine items were excluded before item-level network estimation. The six SDQ impact-supplement items (items 26–31) were excluded because they assess the duration, distress and functional impact of overall difficulties and do not represent individual symptoms. DIET item 3 was a multiple-response item and was not comparable with scalar items. ACT items 5 and 6 assessed recreational screen time and were excluded from the physical-activity domain. After these exclusions, the final baseline network contained 104 items: 26 CIAS-R, 21 DASS-21, 25 SDQ, 7 ISI, 21 DIET and 4 ACT items.</w:t>
      </w:r>
    </w:p>
    <w:p w14:paraId="30C676EA">
      <w:pPr>
        <w:rPr>
          <w:rFonts w:hint="eastAsia" w:eastAsia="宋体"/>
          <w:highlight w:val="none"/>
          <w:lang w:val="en-US" w:eastAsia="zh-CN"/>
        </w:rPr>
      </w:pPr>
      <w:r>
        <w:rPr>
          <w:rFonts w:hint="eastAsia" w:eastAsia="宋体"/>
          <w:highlight w:val="none"/>
          <w:lang w:val="en-US" w:eastAsia="zh-CN"/>
        </w:rPr>
        <w:t xml:space="preserve">The same 25-item SDQ was administered at both waves. All 25 core items were retained for the item-level network. Items 7, 11, 14, 21 and 25 were reverse-scored, whereas the five prosocial items (items 1, 4, 9, 17 and 20) were retained in their original prosocial direction. For the longitudinal analysis, each item was standardised within wave and the 25 standardised item scores were averaged to form a study-specific 25-item SDQ core-item composite representing the broad-difficulties domain. This composite is not equivalent to the standard 20-item SDQ total difficulties score, and higher values should not be interpreted uniformly as greater difficulties. The CIAS-R, DASS-21 and ISI have established psychometric properties. </w:t>
      </w:r>
    </w:p>
    <w:p w14:paraId="1D57A5FF">
      <w:pPr>
        <w:pStyle w:val="5"/>
        <w:keepNext/>
        <w:rPr>
          <w:highlight w:val="none"/>
        </w:rPr>
      </w:pPr>
      <w:r>
        <w:rPr>
          <w:highlight w:val="none"/>
        </w:rPr>
        <w:t>SEARCH longitudinal linkage and domain scores</w:t>
      </w:r>
    </w:p>
    <w:p w14:paraId="00891CEC">
      <w:pPr>
        <w:rPr>
          <w:highlight w:val="none"/>
        </w:rPr>
      </w:pPr>
      <w:r>
        <w:rPr>
          <w:highlight w:val="none"/>
        </w:rPr>
        <w:t>The two SEARCH waves used independent record identifiers. Participants were linked deterministically using a SHA-1 digest of name, date of birth and recorded sex, truncated to 16 hexadecimal characters. Composite keys that were non-unique within a wave were excluded before linkage; three within-wave duplicate records in baseline and one at follow-up were removed. This procedure produced 6,092 participants with complete six-domain data at both waves. Non-unique baseline linkage keys involved 0.052% of candidate records.</w:t>
      </w:r>
    </w:p>
    <w:p w14:paraId="4D2AE083">
      <w:pPr>
        <w:rPr>
          <w:highlight w:val="none"/>
        </w:rPr>
      </w:pPr>
      <w:r>
        <w:rPr>
          <w:highlight w:val="none"/>
        </w:rPr>
        <w:t xml:space="preserve">Diet items 10-22 changed from binary response options at baseline to an eight-point scale at follow-up. </w:t>
      </w:r>
      <w:r>
        <w:rPr>
          <w:rFonts w:hint="eastAsia"/>
          <w:highlight w:val="none"/>
        </w:rPr>
        <w:t>Accordingly, the primary longitudinal analysis used six domain scores; item-level diet comparisons were not performed.</w:t>
      </w:r>
      <w:r>
        <w:rPr>
          <w:highlight w:val="none"/>
        </w:rPr>
        <w:t xml:space="preserve"> </w:t>
      </w:r>
      <w:r>
        <w:rPr>
          <w:rFonts w:hint="eastAsia"/>
          <w:highlight w:val="none"/>
        </w:rPr>
        <w:t>Within each wave, item scores were z-standardised and averaged within each of the six domains. The resulting domain scores were then z-standardised within wave for CLPN estimation.</w:t>
      </w:r>
      <w:r>
        <w:rPr>
          <w:highlight w:val="none"/>
        </w:rPr>
        <w:t xml:space="preserve"> Cross-wave correlations were 0.58 for CIAS-R, 0.63 for DASS, 0.43 for SDQ, 0.34 for diet, 0.57 for ISI and 0.31 for physical activity. Baseline differences between linked and unlinked participants were quantified with standardised mean differences.</w:t>
      </w:r>
    </w:p>
    <w:p w14:paraId="3CE10C74">
      <w:pPr>
        <w:pStyle w:val="5"/>
        <w:keepNext/>
        <w:rPr>
          <w:highlight w:val="none"/>
        </w:rPr>
      </w:pPr>
      <w:r>
        <w:rPr>
          <w:highlight w:val="none"/>
        </w:rPr>
        <w:t>SEARCH cross-lagged panel network</w:t>
      </w:r>
    </w:p>
    <w:p w14:paraId="338CE30C">
      <w:pPr>
        <w:rPr>
          <w:highlight w:val="none"/>
        </w:rPr>
      </w:pPr>
      <w:r>
        <w:rPr>
          <w:highlight w:val="none"/>
        </w:rPr>
        <w:t>For each follow-up domain, we fitted an ordinary least-squares regression containing all six baseline domain scores, including the corresponding autoregressive predictor. Coefficients were standardised and HC3 heteroskedasticity-robust standard errors were used</w:t>
      </w:r>
      <w:r>
        <w:rPr>
          <w:rFonts w:hint="eastAsia" w:eastAsia="宋体"/>
          <w:highlight w:val="none"/>
          <w:vertAlign w:val="superscript"/>
          <w:lang w:val="en-US" w:eastAsia="zh-CN"/>
        </w:rPr>
        <w:t>26, 36</w:t>
      </w:r>
      <w:r>
        <w:rPr>
          <w:highlight w:val="none"/>
        </w:rPr>
        <w:t xml:space="preserve">. </w:t>
      </w:r>
      <w:r>
        <w:rPr>
          <w:rFonts w:hint="eastAsia"/>
          <w:highlight w:val="none"/>
        </w:rPr>
        <w:t>The 30 cross-domain paths were evaluated using a Bonferroni-adjusted threshold of α = 0.0017</w:t>
      </w:r>
      <w:r>
        <w:rPr>
          <w:rFonts w:hint="eastAsia" w:eastAsia="宋体"/>
          <w:highlight w:val="none"/>
          <w:vertAlign w:val="baseline"/>
          <w:lang w:val="en-US" w:eastAsia="zh-CN"/>
        </w:rPr>
        <w:t>.</w:t>
      </w:r>
      <w:r>
        <w:rPr>
          <w:highlight w:val="none"/>
        </w:rPr>
        <w:t xml:space="preserve"> </w:t>
      </w:r>
      <w:r>
        <w:rPr>
          <w:rFonts w:hint="eastAsia"/>
          <w:highlight w:val="none"/>
        </w:rPr>
        <w:t>For visualisation, Fig. 1a marks paths with nominal P &lt; 0.05, and Fig. 1b displays paths with nominal P &lt; 0.05 and |β| ≥ 0.08. Formal inference was based on the Bonferroni-adjusted threshold.</w:t>
      </w:r>
      <w:r>
        <w:rPr>
          <w:rFonts w:hint="eastAsia" w:eastAsia="宋体"/>
          <w:highlight w:val="none"/>
          <w:lang w:val="en-US" w:eastAsia="zh-CN"/>
        </w:rPr>
        <w:t xml:space="preserve"> </w:t>
      </w:r>
      <w:r>
        <w:rPr>
          <w:rFonts w:hint="eastAsia" w:eastAsia="宋体"/>
          <w:highlight w:val="none"/>
          <w:lang w:eastAsia="zh-CN"/>
        </w:rPr>
        <w:t>CLPN net directionality</w:t>
      </w:r>
      <w:r>
        <w:rPr>
          <w:highlight w:val="none"/>
        </w:rPr>
        <w:t xml:space="preserve"> was calculated for each domain as the sum of absolute cross-lagged outgoing coefficients minus the sum of absolute incoming coefficients; autoregressive coefficients were excluded.</w:t>
      </w:r>
      <w:r>
        <w:rPr>
          <w:rFonts w:hint="eastAsia" w:eastAsia="宋体"/>
          <w:highlight w:val="none"/>
          <w:lang w:val="en-US" w:eastAsia="zh-CN"/>
        </w:rPr>
        <w:t xml:space="preserve"> </w:t>
      </w:r>
      <w:r>
        <w:rPr>
          <w:rFonts w:hint="eastAsia"/>
          <w:highlight w:val="none"/>
        </w:rPr>
        <w:t>Positive values indicate a CLPN net source position, and negative values indicate a CLPN net sink position. Both positive and negative cross-lagged paths contribute to CLPN net directionality because the calculation uses absolute coefficients.</w:t>
      </w:r>
    </w:p>
    <w:p w14:paraId="23C2745F">
      <w:pPr>
        <w:rPr>
          <w:rFonts w:hint="eastAsia" w:eastAsia="宋体"/>
          <w:highlight w:val="none"/>
          <w:lang w:val="en-US" w:eastAsia="zh-CN"/>
        </w:rPr>
      </w:pPr>
      <w:r>
        <w:rPr>
          <w:rFonts w:hint="eastAsia" w:eastAsia="宋体"/>
          <w:highlight w:val="none"/>
          <w:lang w:val="en-US" w:eastAsia="zh-CN"/>
        </w:rPr>
        <w:t>Sensitivity analyses recalculated CLPN net directionality using only Bonferroni-significant cross-domain paths, adjusted the regressions for age, sex and grade, and fitted a five-domain model excluding diet. These analyses assessed the stability of CLPN net source and CLPN net sink positions across alternative specifications. School-cluster-robust inference was also calculated for all 30 cross-domain paths using CR1 standard errors clustered by the 10 baseline schools. Two-sided P values and 95% confidence intervals used a t distribution with 9 degrees of freedom, with Bonferroni correction across the 30 paths.</w:t>
      </w:r>
    </w:p>
    <w:p w14:paraId="1A2B487E">
      <w:pPr>
        <w:pStyle w:val="5"/>
        <w:keepNext/>
        <w:rPr>
          <w:highlight w:val="none"/>
        </w:rPr>
      </w:pPr>
      <w:r>
        <w:rPr>
          <w:highlight w:val="none"/>
        </w:rPr>
        <w:t>Millennium Cohort Study longitudinal analysis</w:t>
      </w:r>
    </w:p>
    <w:p w14:paraId="4D32EF2D">
      <w:pPr>
        <w:rPr>
          <w:highlight w:val="none"/>
        </w:rPr>
      </w:pPr>
      <w:r>
        <w:rPr>
          <w:highlight w:val="none"/>
        </w:rPr>
        <w:t>The UK Millennium Cohort Study (MCS) was used for an external longitudinal analysis</w:t>
      </w:r>
      <w:r>
        <w:rPr>
          <w:highlight w:val="none"/>
          <w:vertAlign w:val="superscript"/>
        </w:rPr>
        <w:t>2</w:t>
      </w:r>
      <w:r>
        <w:rPr>
          <w:rFonts w:hint="eastAsia" w:eastAsia="宋体"/>
          <w:highlight w:val="none"/>
          <w:vertAlign w:val="superscript"/>
          <w:lang w:val="en-US" w:eastAsia="zh-CN"/>
        </w:rPr>
        <w:t>8</w:t>
      </w:r>
      <w:r>
        <w:rPr>
          <w:highlight w:val="none"/>
        </w:rPr>
        <w:t>. Sweep 6 at age 14 (N = 11,852)</w:t>
      </w:r>
      <w:r>
        <w:rPr>
          <w:highlight w:val="none"/>
          <w:vertAlign w:val="superscript"/>
        </w:rPr>
        <w:t>4</w:t>
      </w:r>
      <w:r>
        <w:rPr>
          <w:rFonts w:hint="eastAsia" w:eastAsia="宋体"/>
          <w:highlight w:val="none"/>
          <w:vertAlign w:val="superscript"/>
          <w:lang w:val="en-US" w:eastAsia="zh-CN"/>
        </w:rPr>
        <w:t>6</w:t>
      </w:r>
      <w:r>
        <w:rPr>
          <w:highlight w:val="none"/>
        </w:rPr>
        <w:t xml:space="preserve"> and Sweep 7 at age 17 (N = 10,343)</w:t>
      </w:r>
      <w:r>
        <w:rPr>
          <w:highlight w:val="none"/>
          <w:vertAlign w:val="superscript"/>
        </w:rPr>
        <w:t>4</w:t>
      </w:r>
      <w:r>
        <w:rPr>
          <w:rFonts w:hint="eastAsia" w:eastAsia="宋体"/>
          <w:highlight w:val="none"/>
          <w:vertAlign w:val="superscript"/>
          <w:lang w:val="en-US" w:eastAsia="zh-CN"/>
        </w:rPr>
        <w:t>7</w:t>
      </w:r>
      <w:r>
        <w:rPr>
          <w:highlight w:val="none"/>
        </w:rPr>
        <w:t xml:space="preserve"> were obtained under licence from the UK Data Service. De-identified family and cohort-member identifiers linked 9,520 adolescents across sweeps. </w:t>
      </w:r>
      <w:r>
        <w:rPr>
          <w:rFonts w:hint="eastAsia"/>
          <w:highlight w:val="none"/>
        </w:rPr>
        <w:t>Six constructs were available at both ages: self-reported internalising distress, assessed with the 13-item Short Mood and Feelings Questionnaire at age 14</w:t>
      </w:r>
      <w:r>
        <w:rPr>
          <w:rFonts w:hint="eastAsia"/>
          <w:highlight w:val="none"/>
          <w:vertAlign w:val="superscript"/>
        </w:rPr>
        <w:t>48</w:t>
      </w:r>
      <w:r>
        <w:rPr>
          <w:rFonts w:hint="eastAsia"/>
          <w:highlight w:val="none"/>
        </w:rPr>
        <w:t xml:space="preserve"> and the Kessler K6 at age 17</w:t>
      </w:r>
      <w:r>
        <w:rPr>
          <w:rFonts w:hint="eastAsia"/>
          <w:highlight w:val="none"/>
          <w:vertAlign w:val="superscript"/>
        </w:rPr>
        <w:t>49</w:t>
      </w:r>
      <w:r>
        <w:rPr>
          <w:rFonts w:hint="eastAsia"/>
          <w:highlight w:val="none"/>
        </w:rPr>
        <w:t xml:space="preserve">; parent-reported SDQ conduct problems, hyperactivity/inattention and peer problems; and self-reported hours of </w:t>
      </w:r>
      <w:r>
        <w:rPr>
          <w:rFonts w:hint="eastAsia" w:eastAsia="宋体"/>
          <w:highlight w:val="none"/>
          <w:lang w:eastAsia="zh-CN"/>
        </w:rPr>
        <w:t>social media</w:t>
      </w:r>
      <w:r>
        <w:rPr>
          <w:rFonts w:hint="eastAsia"/>
          <w:highlight w:val="none"/>
        </w:rPr>
        <w:t xml:space="preserve"> use and electronic gaming. Scores were z-standardised within wave.</w:t>
      </w:r>
    </w:p>
    <w:p w14:paraId="54C8B8D2">
      <w:pPr>
        <w:rPr>
          <w:highlight w:val="none"/>
        </w:rPr>
      </w:pPr>
      <w:r>
        <w:rPr>
          <w:rFonts w:hint="eastAsia"/>
          <w:highlight w:val="none"/>
        </w:rPr>
        <w:t>The MCS CLPN included the six constructs available at both sweeps and used the regression and CLPN net directionality definition specified for SEARCH. Each age-17 construct was regressed on all six age-14 constructs, and 95% confidence intervals for CLPN net directionality were estimated using 500 nonparametric bootstrap resamples. The analysis estimated multivariable prospective associations among 7,838 participants with complete data; no additional demographic covariates, survey weights or complex-design corrections were applied. Because internalising distress was assessed using different instruments at ages 14 and 17, this node was interpreted at the construct level.</w:t>
      </w:r>
    </w:p>
    <w:p w14:paraId="76731980">
      <w:pPr>
        <w:pStyle w:val="5"/>
        <w:keepNext/>
        <w:rPr>
          <w:highlight w:val="none"/>
        </w:rPr>
      </w:pPr>
      <w:r>
        <w:rPr>
          <w:highlight w:val="none"/>
        </w:rPr>
        <w:t>Baseline SEARCH network reconstruction</w:t>
      </w:r>
    </w:p>
    <w:p w14:paraId="7A25CE10">
      <w:pPr>
        <w:rPr>
          <w:highlight w:val="none"/>
        </w:rPr>
      </w:pPr>
      <w:r>
        <w:rPr>
          <w:highlight w:val="none"/>
        </w:rPr>
        <w:t xml:space="preserve">Item responses were transformed to normal marginals with a nonparanormal Gaussian-copula transformation. A Gaussian graphical model was estimated with graphical </w:t>
      </w:r>
      <w:r>
        <w:rPr>
          <w:rFonts w:hint="eastAsia" w:eastAsia="宋体"/>
          <w:highlight w:val="none"/>
          <w:lang w:val="en-US" w:eastAsia="zh-CN"/>
        </w:rPr>
        <w:t>l</w:t>
      </w:r>
      <w:r>
        <w:rPr>
          <w:highlight w:val="none"/>
        </w:rPr>
        <w:t>asso</w:t>
      </w:r>
      <w:r>
        <w:rPr>
          <w:highlight w:val="none"/>
          <w:vertAlign w:val="superscript"/>
        </w:rPr>
        <w:t>18,</w:t>
      </w:r>
      <w:r>
        <w:rPr>
          <w:rFonts w:hint="eastAsia" w:eastAsia="宋体"/>
          <w:highlight w:val="none"/>
          <w:vertAlign w:val="superscript"/>
          <w:lang w:val="en-US" w:eastAsia="zh-CN"/>
        </w:rPr>
        <w:t xml:space="preserve"> </w:t>
      </w:r>
      <w:r>
        <w:rPr>
          <w:highlight w:val="none"/>
          <w:vertAlign w:val="superscript"/>
        </w:rPr>
        <w:t>19</w:t>
      </w:r>
      <w:r>
        <w:rPr>
          <w:highlight w:val="none"/>
        </w:rPr>
        <w:t>. The regularisation parameter was selected by l</w:t>
      </w:r>
      <w:r>
        <w:rPr>
          <w:rFonts w:hint="eastAsia"/>
          <w:highlight w:val="none"/>
        </w:rPr>
        <w:t>ikelihood-based fivefold cross-validation</w:t>
      </w:r>
      <w:r>
        <w:rPr>
          <w:highlight w:val="none"/>
        </w:rPr>
        <w:t xml:space="preserve"> over a 100-point geometric grid from lambda-max = 0.824 to 1% of that value, yielding lambda = 0.0581. Partial correlations were derived from the precision matrix. Cross-sectional network reporting followed current methodological standards</w:t>
      </w:r>
      <w:r>
        <w:rPr>
          <w:highlight w:val="none"/>
          <w:vertAlign w:val="superscript"/>
        </w:rPr>
        <w:t>23</w:t>
      </w:r>
      <w:r>
        <w:rPr>
          <w:highlight w:val="none"/>
        </w:rPr>
        <w:t>.</w:t>
      </w:r>
    </w:p>
    <w:p w14:paraId="24FCEB88">
      <w:pPr>
        <w:pStyle w:val="5"/>
        <w:keepNext/>
        <w:rPr>
          <w:highlight w:val="none"/>
        </w:rPr>
      </w:pPr>
      <w:r>
        <w:rPr>
          <w:highlight w:val="none"/>
        </w:rPr>
        <w:t>Structural-control and robustness analyses</w:t>
      </w:r>
    </w:p>
    <w:p w14:paraId="36576B04">
      <w:pPr>
        <w:rPr>
          <w:highlight w:val="none"/>
        </w:rPr>
      </w:pPr>
      <w:r>
        <w:rPr>
          <w:rFonts w:hint="eastAsia" w:eastAsia="宋体"/>
          <w:highlight w:val="none"/>
          <w:lang w:eastAsia="zh-CN"/>
        </w:rPr>
        <w:t>MDS solutions were enumerated exhaustively for the primary cross-validated network. For the sensitivity networks, control frequencies were estimated from 60 randomised optimal MDS solutions</w:t>
      </w:r>
      <w:r>
        <w:rPr>
          <w:highlight w:val="none"/>
          <w:vertAlign w:val="superscript"/>
        </w:rPr>
        <w:t>20,</w:t>
      </w:r>
      <w:r>
        <w:rPr>
          <w:rFonts w:hint="eastAsia" w:eastAsia="宋体"/>
          <w:highlight w:val="none"/>
          <w:vertAlign w:val="superscript"/>
          <w:lang w:val="en-US" w:eastAsia="zh-CN"/>
        </w:rPr>
        <w:t xml:space="preserve"> </w:t>
      </w:r>
      <w:r>
        <w:rPr>
          <w:highlight w:val="none"/>
          <w:vertAlign w:val="superscript"/>
        </w:rPr>
        <w:t>21</w:t>
      </w:r>
      <w:r>
        <w:rPr>
          <w:highlight w:val="none"/>
        </w:rPr>
        <w:t xml:space="preserve">. A dominating set is a group of nodes such that every node in the graph either belongs to the set or is adjacent to a member. Control frequency was defined as the proportion of </w:t>
      </w:r>
      <w:r>
        <w:rPr>
          <w:rFonts w:hint="eastAsia"/>
          <w:highlight w:val="none"/>
        </w:rPr>
        <w:t>MDS solutions</w:t>
      </w:r>
      <w:r>
        <w:rPr>
          <w:highlight w:val="none"/>
        </w:rPr>
        <w:t xml:space="preserve"> containing a node. The module control network summarised inter-module structural coverage using average module control strength</w:t>
      </w:r>
      <w:r>
        <w:rPr>
          <w:rFonts w:hint="eastAsia" w:eastAsia="宋体"/>
          <w:highlight w:val="none"/>
          <w:lang w:val="en-US" w:eastAsia="zh-CN"/>
        </w:rPr>
        <w:t xml:space="preserve"> (AMCS)</w:t>
      </w:r>
      <w:r>
        <w:rPr>
          <w:highlight w:val="none"/>
          <w:vertAlign w:val="superscript"/>
        </w:rPr>
        <w:t>22</w:t>
      </w:r>
      <w:r>
        <w:rPr>
          <w:highlight w:val="none"/>
        </w:rPr>
        <w:t>. These quantities refer to the topology of the estimated undirected graph; they do not represent intervention effects, dynamical controllability or temporal precedence.</w:t>
      </w:r>
    </w:p>
    <w:p w14:paraId="270DCF86">
      <w:pPr>
        <w:rPr>
          <w:highlight w:val="none"/>
        </w:rPr>
      </w:pPr>
      <w:r>
        <w:rPr>
          <w:highlight w:val="none"/>
        </w:rPr>
        <w:t>To separate minimum-set size from node identity, 500 degree-preserving null networks were generated by double-edge-swap randomisation and each node's observed control frequency was compared with its node-specific null domination frequency. Estimator sensitivity was examined with EBIC graphical</w:t>
      </w:r>
      <w:r>
        <w:rPr>
          <w:rFonts w:hint="eastAsia" w:eastAsia="宋体"/>
          <w:highlight w:val="none"/>
          <w:lang w:val="en-US" w:eastAsia="zh-CN"/>
        </w:rPr>
        <w:t xml:space="preserve"> l</w:t>
      </w:r>
      <w:r>
        <w:rPr>
          <w:highlight w:val="none"/>
        </w:rPr>
        <w:t>asso networks at gamma values of 0, 0.25 and 0.5, the primary cross-validated network, and a positive-edges-only version. Six community-detection algorithms (Louvain, Leiden, Walktrap, Spinglass, Fast-Greedy and Infomap) were compared with the six prespecified domains using adjusted Rand index and normalised mutual information</w:t>
      </w:r>
      <w:r>
        <w:rPr>
          <w:rFonts w:hint="eastAsia" w:eastAsia="宋体"/>
          <w:highlight w:val="none"/>
          <w:vertAlign w:val="superscript"/>
          <w:lang w:val="en-US" w:eastAsia="zh-CN"/>
        </w:rPr>
        <w:t>31</w:t>
      </w:r>
      <w:r>
        <w:rPr>
          <w:highlight w:val="none"/>
        </w:rPr>
        <w:t>. Community assignments were also compared across waves.</w:t>
      </w:r>
    </w:p>
    <w:p w14:paraId="26572387">
      <w:pPr>
        <w:rPr>
          <w:rFonts w:hint="eastAsia" w:eastAsia="宋体"/>
          <w:highlight w:val="none"/>
          <w:lang w:val="en-US" w:eastAsia="zh-CN"/>
        </w:rPr>
      </w:pPr>
      <w:r>
        <w:rPr>
          <w:highlight w:val="none"/>
        </w:rPr>
        <w:t>We additionally calculated node strength, closeness, betweenness, eigenvector centrality, signed expected influence, bridge strength, bridge expected influence, bridge betweenness, participation coefficient, average controllability, modal controllability and control energy</w:t>
      </w:r>
      <w:r>
        <w:rPr>
          <w:rFonts w:hint="eastAsia" w:eastAsia="宋体"/>
          <w:highlight w:val="none"/>
          <w:vertAlign w:val="superscript"/>
          <w:lang w:val="en-US" w:eastAsia="zh-CN"/>
        </w:rPr>
        <w:t>32</w:t>
      </w:r>
      <w:r>
        <w:rPr>
          <w:highlight w:val="none"/>
        </w:rPr>
        <w:t xml:space="preserve">. </w:t>
      </w:r>
      <w:r>
        <w:rPr>
          <w:rFonts w:hint="eastAsia"/>
          <w:highlight w:val="none"/>
        </w:rPr>
        <w:t>Average and modal controllability, together with the control energy associated with state transitions in the ISI and ACT modules, were derived from the discrete-time linear controllability Gramian applied to the absolute-weight adjacency matrix.</w:t>
      </w:r>
      <w:r>
        <w:rPr>
          <w:rFonts w:hint="eastAsia" w:eastAsia="宋体"/>
          <w:highlight w:val="none"/>
          <w:lang w:val="en-US" w:eastAsia="zh-CN"/>
        </w:rPr>
        <w:t xml:space="preserve"> </w:t>
      </w:r>
      <w:r>
        <w:rPr>
          <w:highlight w:val="none"/>
        </w:rPr>
        <w:t xml:space="preserve">Spearman correlations and principal-component analysis assessed overlap among node metrics. Node-knockout analyses and sustained nonlinear propagation simulations were retained as supplementary robustness analyses. The propagation model applied a hyperbolic-tangent activation with gain g = 0.9 to the </w:t>
      </w:r>
      <w:r>
        <w:rPr>
          <w:rFonts w:hint="eastAsia"/>
          <w:highlight w:val="none"/>
        </w:rPr>
        <w:t>spectrally normalised absolute adjacency matrix</w:t>
      </w:r>
      <w:r>
        <w:rPr>
          <w:highlight w:val="none"/>
        </w:rPr>
        <w:t xml:space="preserve"> under sustained module input.</w:t>
      </w:r>
      <w:r>
        <w:rPr>
          <w:rFonts w:hint="eastAsia" w:eastAsia="宋体"/>
          <w:highlight w:val="none"/>
          <w:lang w:val="en-US" w:eastAsia="zh-CN"/>
        </w:rPr>
        <w:t xml:space="preserve"> Group-level network structures were compared using a permutation-based network comparison test</w:t>
      </w:r>
      <w:r>
        <w:rPr>
          <w:rFonts w:hint="eastAsia" w:eastAsia="宋体"/>
          <w:highlight w:val="none"/>
          <w:vertAlign w:val="superscript"/>
          <w:lang w:val="en-US" w:eastAsia="zh-CN"/>
        </w:rPr>
        <w:t>50</w:t>
      </w:r>
      <w:r>
        <w:rPr>
          <w:rFonts w:hint="eastAsia" w:eastAsia="宋体"/>
          <w:highlight w:val="none"/>
          <w:lang w:val="en-US" w:eastAsia="zh-CN"/>
        </w:rPr>
        <w:t>.</w:t>
      </w:r>
    </w:p>
    <w:p w14:paraId="41BF3298">
      <w:pPr>
        <w:pStyle w:val="5"/>
        <w:keepNext/>
        <w:rPr>
          <w:highlight w:val="none"/>
        </w:rPr>
      </w:pPr>
      <w:r>
        <w:rPr>
          <w:highlight w:val="none"/>
        </w:rPr>
        <w:t>Exploratory Bayesian graph</w:t>
      </w:r>
    </w:p>
    <w:p w14:paraId="2CB113E0">
      <w:pPr>
        <w:rPr>
          <w:rFonts w:hint="eastAsia" w:eastAsia="宋体"/>
          <w:highlight w:val="none"/>
          <w:lang w:val="en-US" w:eastAsia="zh-CN"/>
        </w:rPr>
      </w:pPr>
      <w:r>
        <w:rPr>
          <w:rFonts w:hint="eastAsia"/>
          <w:highlight w:val="none"/>
        </w:rPr>
        <w:t>The six baseline domain scores of the 6,092 longitudinally matched SEARCH participants</w:t>
      </w:r>
      <w:r>
        <w:rPr>
          <w:highlight w:val="none"/>
        </w:rPr>
        <w:t xml:space="preserve"> were discretised into tertiles and a directed acyclic graph was learned by hill-climb search with the Bayesian information criterion in pgmpy. Directed-edge stability was estimated across 200 bootstrap resamples. We also examined the completed partially directed acyclic graph, a continuous Gaussian Bayesian network and leave-one-domain-out correlations. </w:t>
      </w:r>
      <w:r>
        <w:rPr>
          <w:rFonts w:hint="eastAsia"/>
          <w:highlight w:val="none"/>
        </w:rPr>
        <w:t>Because observational Bayesian graphs identify an equivalence class and may be affected by unmeasured confounding, this analysis was interpreted as an exploratory comparison with CLPN ordering rather than causal identification.</w:t>
      </w:r>
      <w:r>
        <w:rPr>
          <w:rFonts w:hint="eastAsia" w:eastAsia="宋体"/>
          <w:highlight w:val="none"/>
          <w:lang w:val="en-US" w:eastAsia="zh-CN"/>
        </w:rPr>
        <w:t xml:space="preserve"> Agreement between Bayesian net out-degree and CLPN net directionality was assessed across six paired domain-level estimates using Pearson and Spearman correlations. The exact two-sided permutation test enumerated all 720 permutations and compared absolute Pearson correlations. The percentile 95% confidence interval for Pearson r was calculated from 5,000 attempted paired bootstrap resamples, excluding resamples with undefined correlations.</w:t>
      </w:r>
    </w:p>
    <w:p w14:paraId="70972AB3">
      <w:pPr>
        <w:pStyle w:val="5"/>
        <w:keepNext/>
        <w:rPr>
          <w:highlight w:val="none"/>
        </w:rPr>
      </w:pPr>
      <w:r>
        <w:rPr>
          <w:highlight w:val="none"/>
        </w:rPr>
        <w:t>Global Mind Project analysis</w:t>
      </w:r>
    </w:p>
    <w:p w14:paraId="6C709D83">
      <w:pPr>
        <w:rPr>
          <w:highlight w:val="none"/>
        </w:rPr>
      </w:pPr>
      <w:r>
        <w:rPr>
          <w:highlight w:val="none"/>
        </w:rPr>
        <w:t>The Global Mind Project/Mental Health Million dataset contains adult self-report records collected internationally</w:t>
      </w:r>
      <w:r>
        <w:rPr>
          <w:rFonts w:hint="eastAsia" w:eastAsia="宋体"/>
          <w:highlight w:val="none"/>
          <w:vertAlign w:val="superscript"/>
          <w:lang w:val="en-US" w:eastAsia="zh-CN"/>
        </w:rPr>
        <w:t>29</w:t>
      </w:r>
      <w:r>
        <w:rPr>
          <w:highlight w:val="none"/>
          <w:vertAlign w:val="superscript"/>
        </w:rPr>
        <w:t>,</w:t>
      </w:r>
      <w:r>
        <w:rPr>
          <w:rFonts w:hint="eastAsia" w:eastAsia="宋体"/>
          <w:highlight w:val="none"/>
          <w:vertAlign w:val="superscript"/>
          <w:lang w:val="en-US" w:eastAsia="zh-CN"/>
        </w:rPr>
        <w:t xml:space="preserve"> 30</w:t>
      </w:r>
      <w:r>
        <w:rPr>
          <w:highlight w:val="none"/>
        </w:rPr>
        <w:t xml:space="preserve">. </w:t>
      </w:r>
      <w:r>
        <w:rPr>
          <w:rFonts w:hint="eastAsia"/>
          <w:highlight w:val="none"/>
        </w:rPr>
        <w:t>We selected participants aged 18–24 years; 147,506 had complete data for six mapped constructs and were included in the pooled multinational analysis.</w:t>
      </w:r>
      <w:r>
        <w:rPr>
          <w:highlight w:val="none"/>
        </w:rPr>
        <w:t xml:space="preserve"> Emotion was represented by fear/anxiety, sadness/hopelessness, mood swings and anger; broad behaviour by restlessness/hyperactivity, aggression and impulsivity; sleep by sleep frequency and quality; diet by ultra-processed food, fruit/vegetable and sugary-food frequency and appetite; activity by exercise frequency; and digital exposure by </w:t>
      </w:r>
      <w:r>
        <w:rPr>
          <w:rFonts w:hint="eastAsia" w:eastAsia="宋体"/>
          <w:highlight w:val="none"/>
          <w:lang w:eastAsia="zh-CN"/>
        </w:rPr>
        <w:t>social media</w:t>
      </w:r>
      <w:r>
        <w:rPr>
          <w:highlight w:val="none"/>
        </w:rPr>
        <w:t xml:space="preserve"> frequency.</w:t>
      </w:r>
    </w:p>
    <w:p w14:paraId="5A02B0BE">
      <w:pPr>
        <w:rPr>
          <w:rFonts w:hint="eastAsia"/>
          <w:highlight w:val="none"/>
        </w:rPr>
      </w:pPr>
      <w:r>
        <w:rPr>
          <w:rFonts w:hint="eastAsia"/>
          <w:highlight w:val="none"/>
        </w:rPr>
        <w:t xml:space="preserve">Within each mapped GMP domain, component items were z-standardised and averaged to form a domain score. The six domain scores were transformed to normal marginals, and a Gaussian graphical model was estimated using cross-validated graphical </w:t>
      </w:r>
      <w:r>
        <w:rPr>
          <w:rFonts w:hint="eastAsia" w:eastAsia="宋体"/>
          <w:highlight w:val="none"/>
          <w:lang w:val="en-US" w:eastAsia="zh-CN"/>
        </w:rPr>
        <w:t>l</w:t>
      </w:r>
      <w:r>
        <w:rPr>
          <w:rFonts w:hint="eastAsia"/>
          <w:highlight w:val="none"/>
        </w:rPr>
        <w:t xml:space="preserve">asso. Domain strength was calculated as the sum of absolute partial correlations, with 95% confidence intervals obtained from 300 </w:t>
      </w:r>
      <w:r>
        <w:rPr>
          <w:rFonts w:hint="eastAsia" w:eastAsia="宋体"/>
          <w:highlight w:val="none"/>
          <w:lang w:eastAsia="zh-CN"/>
        </w:rPr>
        <w:t>nonparametric</w:t>
      </w:r>
      <w:r>
        <w:rPr>
          <w:rFonts w:hint="eastAsia"/>
          <w:highlight w:val="none"/>
        </w:rPr>
        <w:t xml:space="preserve"> bootstrap resamples. </w:t>
      </w:r>
    </w:p>
    <w:p w14:paraId="10B28F35">
      <w:pPr>
        <w:rPr>
          <w:highlight w:val="none"/>
        </w:rPr>
      </w:pPr>
      <w:r>
        <w:rPr>
          <w:rFonts w:hint="eastAsia"/>
          <w:highlight w:val="none"/>
        </w:rPr>
        <w:t>For the descriptive comparison in Fig. 5b, the 104 baseline SEARCH items were summed within six corresponding domains, and the resulting domain scores were z-standardised. A six-domain partial-correlation network was derived from the inverse correlation matrix, with domain strength calculated in the same way. Strengths were normalised separately within each cohort by dividing each value by the maximum domain strength, so that the strongest domain was assigned a value of 1. This comparison was descriptive and did not test differences between cohorts.</w:t>
      </w:r>
    </w:p>
    <w:p w14:paraId="5DE60377">
      <w:pPr>
        <w:pStyle w:val="5"/>
        <w:keepNext/>
        <w:rPr>
          <w:highlight w:val="none"/>
        </w:rPr>
      </w:pPr>
      <w:r>
        <w:rPr>
          <w:highlight w:val="none"/>
        </w:rPr>
        <w:t>Statistics and reproducibility</w:t>
      </w:r>
    </w:p>
    <w:p w14:paraId="35B7DC72">
      <w:pPr>
        <w:rPr>
          <w:highlight w:val="none"/>
        </w:rPr>
      </w:pPr>
      <w:r>
        <w:rPr>
          <w:highlight w:val="none"/>
        </w:rPr>
        <w:t xml:space="preserve">All available eligible records were analysed and no a priori sample-size calculation was performed. No missing-data imputation was used. The SEARCH cross-lagged model included 6,092 linked complete cases, the MCS model included 7,838 complete cases, the secondary baseline SEARCH network included 10,356 participants, and the Global Mind Project analysis included 147,506 complete cases. </w:t>
      </w:r>
      <w:r>
        <w:rPr>
          <w:rFonts w:hint="eastAsia"/>
          <w:highlight w:val="none"/>
        </w:rPr>
        <w:t>All tests were two-sided. Bootstrap counts were 1,000 for SEARCH directionality, 500 for MCS directionality, 300 for Global Mind Project strength and 200 for Bayesian edge stability. We also generated 500 degree-preserving null networks.Unless otherwise stated, nonparametric bootstrap analyses resampled participants with replacement. SEARCH net-directionality intervals used 1,000 resamples, MCS intervals used 500, GMP strength intervals used 300, Bayesian edge stability used 200, and cross-wave community stability used 100. Structural-control-node stability used 300 independent 90% subsamples drawn without replacement.</w:t>
      </w:r>
    </w:p>
    <w:p w14:paraId="7957EE70">
      <w:pPr>
        <w:pStyle w:val="5"/>
        <w:keepNext/>
        <w:rPr>
          <w:highlight w:val="none"/>
        </w:rPr>
      </w:pPr>
      <w:r>
        <w:rPr>
          <w:highlight w:val="none"/>
        </w:rPr>
        <w:t>Software</w:t>
      </w:r>
    </w:p>
    <w:p w14:paraId="07F7A0BD">
      <w:pPr>
        <w:rPr>
          <w:highlight w:val="none"/>
        </w:rPr>
      </w:pPr>
      <w:r>
        <w:rPr>
          <w:highlight w:val="none"/>
        </w:rPr>
        <w:t>Analyses were conducted in Python using scikit-learn, networkx, python-igraph, leidenalg, python-louvain, statsmodels and pgmpy.</w:t>
      </w:r>
    </w:p>
    <w:p w14:paraId="14F75C5C">
      <w:pPr>
        <w:pStyle w:val="3"/>
        <w:keepNext/>
        <w:rPr>
          <w:highlight w:val="none"/>
        </w:rPr>
      </w:pPr>
      <w:r>
        <w:rPr>
          <w:highlight w:val="none"/>
        </w:rPr>
        <w:t>Data Availability</w:t>
      </w:r>
    </w:p>
    <w:p w14:paraId="43A95D9B">
      <w:pPr>
        <w:rPr>
          <w:highlight w:val="none"/>
        </w:rPr>
      </w:pPr>
      <w:r>
        <w:rPr>
          <w:highlight w:val="none"/>
        </w:rPr>
        <w:t>Individual-level SEARCH data are restricted by ethics approval 2022-KY095-02 and cannot be shared publicly. Global Mind Project data are available from Sapien Labs under the provider's data-access conditions. Millennium Cohort Study data are available to registered users from the UK Data Service under its End User Licence. Derived, non-identifiable matrices, cross-lagged coefficients, bootstrap outputs, Bayesian-network edge lists, null-model distributions and machine-readable result tables are supplied in Supplementary Data 1 and the accompanying code archives. No individual-level records are included.</w:t>
      </w:r>
    </w:p>
    <w:p w14:paraId="73739E15">
      <w:pPr>
        <w:pStyle w:val="3"/>
        <w:keepNext/>
        <w:rPr>
          <w:highlight w:val="none"/>
        </w:rPr>
      </w:pPr>
      <w:r>
        <w:rPr>
          <w:highlight w:val="none"/>
        </w:rPr>
        <w:t>Code Availability</w:t>
      </w:r>
    </w:p>
    <w:p w14:paraId="26ACBBA6">
      <w:pPr>
        <w:rPr>
          <w:rFonts w:hint="eastAsia" w:eastAsia="宋体"/>
          <w:highlight w:val="none"/>
          <w:lang w:val="en-US" w:eastAsia="zh-CN"/>
        </w:rPr>
      </w:pPr>
      <w:r>
        <w:rPr>
          <w:rFonts w:hint="eastAsia"/>
          <w:highlight w:val="none"/>
        </w:rPr>
        <w:t xml:space="preserve">The analysis code used in this study is available through the project website: </w:t>
      </w:r>
      <w:r>
        <w:rPr>
          <w:rFonts w:hint="eastAsia"/>
          <w:highlight w:val="none"/>
        </w:rPr>
        <w:fldChar w:fldCharType="begin"/>
      </w:r>
      <w:r>
        <w:rPr>
          <w:rFonts w:hint="eastAsia"/>
          <w:highlight w:val="none"/>
        </w:rPr>
        <w:instrText xml:space="preserve"> HYPERLINK "https://zling77.github.io/digital-use-symptom-networks/." </w:instrText>
      </w:r>
      <w:r>
        <w:rPr>
          <w:rFonts w:hint="eastAsia"/>
          <w:highlight w:val="none"/>
        </w:rPr>
        <w:fldChar w:fldCharType="separate"/>
      </w:r>
      <w:r>
        <w:rPr>
          <w:rFonts w:hint="eastAsia"/>
          <w:highlight w:val="none"/>
        </w:rPr>
        <w:t>https://zling77.github.io/digital-use-symptom-networks/</w:t>
      </w:r>
      <w:r>
        <w:rPr>
          <w:rFonts w:hint="eastAsia"/>
          <w:highlight w:val="none"/>
        </w:rPr>
        <w:fldChar w:fldCharType="end"/>
      </w:r>
      <w:r>
        <w:rPr>
          <w:rFonts w:hint="eastAsia"/>
          <w:highlight w:val="none"/>
          <w:lang w:val="en-US" w:eastAsia="zh-CN"/>
        </w:rPr>
        <w:t xml:space="preserve"> </w:t>
      </w:r>
      <w:r>
        <w:rPr>
          <w:rFonts w:hint="eastAsia" w:eastAsia="宋体"/>
          <w:highlight w:val="none"/>
          <w:lang w:val="en-US" w:eastAsia="zh-CN"/>
        </w:rPr>
        <w:t>The main code archive contains scripts for SEARCH network reconstruction, cross-lagged panel networks, structural-control analyses, Bayesian graphs, community detection, null models and figure generation. A separate archive contains the Global Mind Project and Millennium Cohort Study analysis scripts.</w:t>
      </w:r>
    </w:p>
    <w:p w14:paraId="0D2E1DE9">
      <w:pPr>
        <w:pStyle w:val="3"/>
        <w:keepNext/>
        <w:rPr>
          <w:highlight w:val="none"/>
        </w:rPr>
      </w:pPr>
      <w:r>
        <w:rPr>
          <w:highlight w:val="none"/>
        </w:rPr>
        <w:t>Acknowledgements</w:t>
      </w:r>
    </w:p>
    <w:p w14:paraId="74165767">
      <w:pPr>
        <w:rPr>
          <w:highlight w:val="none"/>
        </w:rPr>
      </w:pPr>
      <w:r>
        <w:rPr>
          <w:highlight w:val="none"/>
        </w:rPr>
        <w:t>This work was supported by the NSFC-Jiangsu Joint Fund (U24A20701) and the Hong Kong Research Grants Council (STG1/M-501/23-N). The funders had no role in study design, data collection and analysis, the decision to publish or preparation of the manuscript.</w:t>
      </w:r>
    </w:p>
    <w:p w14:paraId="486720D2">
      <w:pPr>
        <w:pStyle w:val="3"/>
        <w:keepNext/>
        <w:rPr>
          <w:highlight w:val="none"/>
        </w:rPr>
      </w:pPr>
      <w:r>
        <w:rPr>
          <w:highlight w:val="none"/>
        </w:rPr>
        <w:t>Author Contributions</w:t>
      </w:r>
    </w:p>
    <w:p w14:paraId="71ADDAC0">
      <w:pPr>
        <w:rPr>
          <w:highlight w:val="none"/>
        </w:rPr>
      </w:pPr>
      <w:r>
        <w:rPr>
          <w:highlight w:val="none"/>
        </w:rPr>
        <w:t>X.Z. conceived and designed the study. J.Z. and L.Z. curated the data. X.Z., J.Z. and L.Z. conducted the statistical and network analyses. X.Z. supervised the work. J.Z., L.Z. and X.Z. interpreted the findings. X.Z. drafted the manuscript. All authors reviewed and approved the final manuscript.</w:t>
      </w:r>
    </w:p>
    <w:p w14:paraId="5218EC79">
      <w:pPr>
        <w:pStyle w:val="3"/>
        <w:keepNext/>
        <w:rPr>
          <w:highlight w:val="none"/>
        </w:rPr>
      </w:pPr>
      <w:r>
        <w:rPr>
          <w:highlight w:val="none"/>
        </w:rPr>
        <w:t>Ethics Declaration</w:t>
      </w:r>
    </w:p>
    <w:p w14:paraId="31DAE59B">
      <w:pPr>
        <w:rPr>
          <w:highlight w:val="none"/>
        </w:rPr>
      </w:pPr>
      <w:r>
        <w:rPr>
          <w:rFonts w:hint="eastAsia"/>
          <w:highlight w:val="none"/>
        </w:rPr>
        <w:t>The present study analysed existing SEARCH, MCS and GMP data; no new participants were recruited and no new data were collected.</w:t>
      </w:r>
      <w:r>
        <w:rPr>
          <w:rFonts w:hint="eastAsia" w:eastAsia="宋体"/>
          <w:highlight w:val="none"/>
          <w:lang w:val="en-US" w:eastAsia="zh-CN"/>
        </w:rPr>
        <w:t xml:space="preserve"> </w:t>
      </w:r>
      <w:r>
        <w:rPr>
          <w:highlight w:val="none"/>
        </w:rPr>
        <w:t>The SEARCH study was approved by the Ethics Committee of the Affiliated Brain Hospital of Nanjing Medical University (approval 2022-KY095-02) and conducted in accordance with the Declaration of Helsinki. Written informed consent was obtained from participating adolescents and their legal guardians before data collection. The Global Mind Project and Millennium Cohort Study analyses used de-identified secondary data collected under the ethical approvals and access conditions of their respective data providers.</w:t>
      </w:r>
    </w:p>
    <w:p w14:paraId="4E834131">
      <w:pPr>
        <w:pStyle w:val="3"/>
        <w:keepNext/>
        <w:rPr>
          <w:highlight w:val="none"/>
        </w:rPr>
      </w:pPr>
      <w:r>
        <w:rPr>
          <w:highlight w:val="none"/>
        </w:rPr>
        <w:t>Competing Interests</w:t>
      </w:r>
    </w:p>
    <w:p w14:paraId="44287EB0">
      <w:pPr>
        <w:rPr>
          <w:highlight w:val="none"/>
        </w:rPr>
      </w:pPr>
      <w:r>
        <w:rPr>
          <w:highlight w:val="none"/>
        </w:rPr>
        <w:t>The authors declare no financial or non-financial competing interests.</w:t>
      </w:r>
    </w:p>
    <w:p w14:paraId="5F70580D">
      <w:pPr>
        <w:pStyle w:val="3"/>
        <w:keepNext/>
        <w:rPr>
          <w:highlight w:val="none"/>
        </w:rPr>
      </w:pPr>
      <w:r>
        <w:rPr>
          <w:highlight w:val="none"/>
        </w:rPr>
        <w:t>References</w:t>
      </w:r>
    </w:p>
    <w:p w14:paraId="354FB0C0">
      <w:pPr>
        <w:numPr>
          <w:ilvl w:val="0"/>
          <w:numId w:val="7"/>
        </w:numPr>
        <w:spacing w:after="80" w:line="276" w:lineRule="auto"/>
        <w:ind w:left="432" w:hanging="432"/>
        <w:rPr>
          <w:rFonts w:hint="default" w:ascii="Times New Roman" w:hAnsi="Times New Roman" w:cs="Times New Roman"/>
          <w:sz w:val="18"/>
          <w:szCs w:val="18"/>
          <w:highlight w:val="none"/>
        </w:rPr>
      </w:pPr>
      <w:r>
        <w:rPr>
          <w:rFonts w:hint="eastAsia" w:ascii="Times New Roman" w:hAnsi="Times New Roman" w:eastAsia="宋体" w:cs="Times New Roman"/>
          <w:sz w:val="24"/>
          <w:szCs w:val="24"/>
          <w:highlight w:val="none"/>
          <w:lang w:val="en-US" w:eastAsia="zh-CN"/>
        </w:rPr>
        <w:t xml:space="preserve"> </w:t>
      </w:r>
      <w:r>
        <w:rPr>
          <w:rFonts w:hint="default" w:ascii="Times New Roman" w:hAnsi="Times New Roman" w:cs="Times New Roman"/>
          <w:sz w:val="18"/>
          <w:szCs w:val="18"/>
          <w:highlight w:val="none"/>
        </w:rPr>
        <w:t xml:space="preserve">Auerbach, R. P. et al. WHO World Mental Health Surveys International College Student Project: Prevalence and distribution of mental disorders. </w:t>
      </w:r>
      <w:r>
        <w:rPr>
          <w:rFonts w:hint="default" w:ascii="Times New Roman" w:hAnsi="Times New Roman" w:cs="Times New Roman"/>
          <w:i/>
          <w:iCs/>
          <w:sz w:val="18"/>
          <w:szCs w:val="18"/>
          <w:highlight w:val="none"/>
        </w:rPr>
        <w:t>J. Abnorm. Psychol.</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127,</w:t>
      </w:r>
      <w:r>
        <w:rPr>
          <w:rFonts w:hint="default" w:ascii="Times New Roman" w:hAnsi="Times New Roman" w:cs="Times New Roman"/>
          <w:sz w:val="18"/>
          <w:szCs w:val="18"/>
          <w:highlight w:val="none"/>
        </w:rPr>
        <w:t xml:space="preserve"> 623–638</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(2018). https://doi.org/10.1037/abn0000362</w:t>
      </w:r>
    </w:p>
    <w:p w14:paraId="25980CDF">
      <w:pPr>
        <w:numPr>
          <w:ilvl w:val="0"/>
          <w:numId w:val="7"/>
        </w:num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 xml:space="preserve">Sohn, S. Y., Rees, P., Wildridge, B., Kalk, N. J. &amp; Carter, B. Prevalence of problematic smartphone usage and associated mental health outcomes amongst children and young people: a systematic review, meta-analysis and GRADE of the evidence. </w:t>
      </w:r>
      <w:r>
        <w:rPr>
          <w:rFonts w:hint="default" w:ascii="Times New Roman" w:hAnsi="Times New Roman" w:cs="Times New Roman"/>
          <w:i/>
          <w:sz w:val="18"/>
          <w:szCs w:val="18"/>
          <w:highlight w:val="none"/>
        </w:rPr>
        <w:t xml:space="preserve">BMC Psychiatry </w:t>
      </w:r>
      <w:r>
        <w:rPr>
          <w:rFonts w:hint="default" w:ascii="Times New Roman" w:hAnsi="Times New Roman" w:cs="Times New Roman"/>
          <w:b/>
          <w:sz w:val="18"/>
          <w:szCs w:val="18"/>
          <w:highlight w:val="none"/>
        </w:rPr>
        <w:t>19</w:t>
      </w:r>
      <w:r>
        <w:rPr>
          <w:rFonts w:hint="default" w:ascii="Times New Roman" w:hAnsi="Times New Roman" w:cs="Times New Roman"/>
          <w:sz w:val="18"/>
          <w:szCs w:val="18"/>
          <w:highlight w:val="none"/>
        </w:rPr>
        <w:t>, 356</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(2019). https://doi.org/10.1186/s12888-019-2350-x</w:t>
      </w:r>
    </w:p>
    <w:p w14:paraId="55328DF8">
      <w:pPr>
        <w:spacing w:after="80" w:line="276" w:lineRule="auto"/>
        <w:ind w:left="432" w:hanging="432"/>
        <w:rPr>
          <w:rFonts w:hint="default" w:ascii="Times New Roman" w:hAnsi="Times New Roman" w:eastAsia="宋体" w:cs="Times New Roman"/>
          <w:sz w:val="18"/>
          <w:szCs w:val="18"/>
          <w:highlight w:val="none"/>
          <w:lang w:val="en-US" w:eastAsia="zh-CN"/>
        </w:rPr>
      </w:pPr>
      <w:r>
        <w:rPr>
          <w:rFonts w:hint="default" w:ascii="Times New Roman" w:hAnsi="Times New Roman" w:cs="Times New Roman"/>
          <w:sz w:val="18"/>
          <w:szCs w:val="18"/>
          <w:highlight w:val="none"/>
        </w:rPr>
        <w:t xml:space="preserve">3. Shiferaw, B. D. et al. Impact of digital addiction on youth health: a systematic review and meta-analysis. </w:t>
      </w:r>
      <w:r>
        <w:rPr>
          <w:rFonts w:hint="default" w:ascii="Times New Roman" w:hAnsi="Times New Roman" w:cs="Times New Roman"/>
          <w:i/>
          <w:sz w:val="18"/>
          <w:szCs w:val="18"/>
          <w:highlight w:val="none"/>
        </w:rPr>
        <w:t xml:space="preserve">J. Behav. Addict. </w:t>
      </w:r>
      <w:r>
        <w:rPr>
          <w:rFonts w:hint="default" w:ascii="Times New Roman" w:hAnsi="Times New Roman" w:cs="Times New Roman"/>
          <w:b/>
          <w:sz w:val="18"/>
          <w:szCs w:val="18"/>
          <w:highlight w:val="none"/>
        </w:rPr>
        <w:t>14</w:t>
      </w:r>
      <w:r>
        <w:rPr>
          <w:rFonts w:hint="default" w:ascii="Times New Roman" w:hAnsi="Times New Roman" w:cs="Times New Roman"/>
          <w:sz w:val="18"/>
          <w:szCs w:val="18"/>
          <w:highlight w:val="none"/>
        </w:rPr>
        <w:t>, 1129–1158</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(2025). https://doi.org/10.1556/2006.2025.00081</w:t>
      </w:r>
    </w:p>
    <w:p w14:paraId="0F7D3D76">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4. Elhai, J. D., Dvorak, R. D., Levine, J. C. &amp; Hall, B. J. Problematic smartphone use: a conceptual overview and systematic review of relations with anxiety and depression psychopathology.</w:t>
      </w:r>
      <w:r>
        <w:rPr>
          <w:rFonts w:hint="default" w:ascii="Times New Roman" w:hAnsi="Times New Roman" w:cs="Times New Roman"/>
          <w:i/>
          <w:iCs/>
          <w:sz w:val="18"/>
          <w:szCs w:val="18"/>
          <w:highlight w:val="none"/>
        </w:rPr>
        <w:t xml:space="preserve"> J. Affect. Disord. </w:t>
      </w:r>
      <w:r>
        <w:rPr>
          <w:rFonts w:hint="default" w:ascii="Times New Roman" w:hAnsi="Times New Roman" w:cs="Times New Roman"/>
          <w:b/>
          <w:bCs/>
          <w:sz w:val="18"/>
          <w:szCs w:val="18"/>
          <w:highlight w:val="none"/>
        </w:rPr>
        <w:t>207,</w:t>
      </w:r>
      <w:r>
        <w:rPr>
          <w:rFonts w:hint="default" w:ascii="Times New Roman" w:hAnsi="Times New Roman" w:cs="Times New Roman"/>
          <w:sz w:val="18"/>
          <w:szCs w:val="18"/>
          <w:highlight w:val="none"/>
        </w:rPr>
        <w:t xml:space="preserve"> 251–259</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(2017).</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https://doi.org/10.1016/j.jad.2016.08.030</w:t>
      </w:r>
    </w:p>
    <w:p w14:paraId="7F4D55AF">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5</w:t>
      </w:r>
      <w:r>
        <w:rPr>
          <w:rFonts w:hint="default" w:ascii="Times New Roman" w:hAnsi="Times New Roman" w:cs="Times New Roman"/>
          <w:sz w:val="18"/>
          <w:szCs w:val="18"/>
          <w:highlight w:val="none"/>
        </w:rPr>
        <w:t xml:space="preserve">. Odgers, C. L. &amp; Jensen, M. R. Annual Research Review: adolescent mental health in the digital age: facts, fears, and future directions. </w:t>
      </w:r>
      <w:r>
        <w:rPr>
          <w:rFonts w:hint="default" w:ascii="Times New Roman" w:hAnsi="Times New Roman" w:cs="Times New Roman"/>
          <w:i/>
          <w:iCs/>
          <w:sz w:val="18"/>
          <w:szCs w:val="18"/>
          <w:highlight w:val="none"/>
        </w:rPr>
        <w:t>J. Child Psychol. Psychiatry</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61,</w:t>
      </w:r>
      <w:r>
        <w:rPr>
          <w:rFonts w:hint="default" w:ascii="Times New Roman" w:hAnsi="Times New Roman" w:cs="Times New Roman"/>
          <w:sz w:val="18"/>
          <w:szCs w:val="18"/>
          <w:highlight w:val="none"/>
        </w:rPr>
        <w:t xml:space="preserve"> 336–34</w:t>
      </w:r>
      <w:r>
        <w:rPr>
          <w:rFonts w:hint="default" w:ascii="Times New Roman" w:hAnsi="Times New Roman" w:eastAsia="宋体" w:cs="Times New Roman"/>
          <w:sz w:val="18"/>
          <w:szCs w:val="18"/>
          <w:highlight w:val="none"/>
          <w:lang w:val="en-US" w:eastAsia="zh-CN"/>
        </w:rPr>
        <w:t xml:space="preserve">8 </w:t>
      </w:r>
      <w:r>
        <w:rPr>
          <w:rFonts w:hint="default" w:ascii="Times New Roman" w:hAnsi="Times New Roman" w:cs="Times New Roman"/>
          <w:sz w:val="18"/>
          <w:szCs w:val="18"/>
          <w:highlight w:val="none"/>
        </w:rPr>
        <w:t>(2020). https://doi.org/10.1111/jcpp.13190</w:t>
      </w:r>
    </w:p>
    <w:p w14:paraId="54DD1A67">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6</w:t>
      </w:r>
      <w:r>
        <w:rPr>
          <w:rFonts w:hint="default" w:ascii="Times New Roman" w:hAnsi="Times New Roman" w:cs="Times New Roman"/>
          <w:sz w:val="18"/>
          <w:szCs w:val="18"/>
          <w:highlight w:val="none"/>
        </w:rPr>
        <w:t xml:space="preserve">. Boers, E., Afzali, M. H., Newton, N. &amp; Conrod, P. Association of screen time and depression in adolescence. </w:t>
      </w:r>
      <w:r>
        <w:rPr>
          <w:rFonts w:hint="default" w:ascii="Times New Roman" w:hAnsi="Times New Roman" w:cs="Times New Roman"/>
          <w:i/>
          <w:iCs/>
          <w:sz w:val="18"/>
          <w:szCs w:val="18"/>
          <w:highlight w:val="none"/>
        </w:rPr>
        <w:t xml:space="preserve">JAMA Pediatr. </w:t>
      </w:r>
      <w:r>
        <w:rPr>
          <w:rFonts w:hint="default" w:ascii="Times New Roman" w:hAnsi="Times New Roman" w:cs="Times New Roman"/>
          <w:b/>
          <w:bCs/>
          <w:sz w:val="18"/>
          <w:szCs w:val="18"/>
          <w:highlight w:val="none"/>
        </w:rPr>
        <w:t>173,</w:t>
      </w:r>
      <w:r>
        <w:rPr>
          <w:rFonts w:hint="default" w:ascii="Times New Roman" w:hAnsi="Times New Roman" w:cs="Times New Roman"/>
          <w:sz w:val="18"/>
          <w:szCs w:val="18"/>
          <w:highlight w:val="none"/>
        </w:rPr>
        <w:t xml:space="preserve"> 853–859 (2019). https://doi.org/10.1001/jamapediatrics.2019.1759</w:t>
      </w:r>
    </w:p>
    <w:p w14:paraId="414AB69D">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7</w:t>
      </w:r>
      <w:r>
        <w:rPr>
          <w:rFonts w:hint="default" w:ascii="Times New Roman" w:hAnsi="Times New Roman" w:cs="Times New Roman"/>
          <w:sz w:val="18"/>
          <w:szCs w:val="18"/>
          <w:highlight w:val="none"/>
        </w:rPr>
        <w:t xml:space="preserve">. Lemola, S., Perkinson-Gloor, N., Brand, S., Dewald-Kaufmann, J. F. &amp; Grob, A. Adolescents’ electronic media use at night, sleep disturbance, and depressive symptoms in the smartphone age. </w:t>
      </w:r>
      <w:r>
        <w:rPr>
          <w:rFonts w:hint="default" w:ascii="Times New Roman" w:hAnsi="Times New Roman" w:cs="Times New Roman"/>
          <w:i/>
          <w:iCs/>
          <w:sz w:val="18"/>
          <w:szCs w:val="18"/>
          <w:highlight w:val="none"/>
        </w:rPr>
        <w:t>J. Youth Adolesc.</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44,</w:t>
      </w:r>
      <w:r>
        <w:rPr>
          <w:rFonts w:hint="default" w:ascii="Times New Roman" w:hAnsi="Times New Roman" w:cs="Times New Roman"/>
          <w:sz w:val="18"/>
          <w:szCs w:val="18"/>
          <w:highlight w:val="none"/>
        </w:rPr>
        <w:t xml:space="preserve"> 405–418 (2015). https://doi.org/10.1007/s10964-014-0176-x</w:t>
      </w:r>
    </w:p>
    <w:p w14:paraId="6A4C6CAA">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8</w:t>
      </w:r>
      <w:r>
        <w:rPr>
          <w:rFonts w:hint="default" w:ascii="Times New Roman" w:hAnsi="Times New Roman" w:cs="Times New Roman"/>
          <w:sz w:val="18"/>
          <w:szCs w:val="18"/>
          <w:highlight w:val="none"/>
        </w:rPr>
        <w:t xml:space="preserve">. Elhai, J. D., Yang, H., Fang, J., Bai, X. &amp; Hall, B. J. Depression and anxiety symptoms are related to problematic smartphone use severity in Chinese young adults: fear of missing out as a mediator. </w:t>
      </w:r>
      <w:r>
        <w:rPr>
          <w:rFonts w:hint="default" w:ascii="Times New Roman" w:hAnsi="Times New Roman" w:cs="Times New Roman"/>
          <w:i/>
          <w:iCs/>
          <w:sz w:val="18"/>
          <w:szCs w:val="18"/>
          <w:highlight w:val="none"/>
        </w:rPr>
        <w:t>Addict. Behav.</w:t>
      </w:r>
      <w:r>
        <w:rPr>
          <w:rFonts w:hint="default" w:ascii="Times New Roman" w:hAnsi="Times New Roman" w:cs="Times New Roman"/>
          <w:b/>
          <w:bCs/>
          <w:sz w:val="18"/>
          <w:szCs w:val="18"/>
          <w:highlight w:val="none"/>
        </w:rPr>
        <w:t xml:space="preserve"> 101,</w:t>
      </w:r>
      <w:r>
        <w:rPr>
          <w:rFonts w:hint="default" w:ascii="Times New Roman" w:hAnsi="Times New Roman" w:cs="Times New Roman"/>
          <w:sz w:val="18"/>
          <w:szCs w:val="18"/>
          <w:highlight w:val="none"/>
        </w:rPr>
        <w:t xml:space="preserve"> 105962 (2020). https://doi.org/10.1016/j.addbeh.2019.04.020</w:t>
      </w:r>
    </w:p>
    <w:p w14:paraId="10F1A87A">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9</w:t>
      </w:r>
      <w:r>
        <w:rPr>
          <w:rFonts w:hint="default" w:ascii="Times New Roman" w:hAnsi="Times New Roman" w:cs="Times New Roman"/>
          <w:sz w:val="18"/>
          <w:szCs w:val="18"/>
          <w:highlight w:val="none"/>
        </w:rPr>
        <w:t>. Alimoradi, Z. et al. Internet addiction and sleep problems: a systematic review and meta-analysis.</w:t>
      </w:r>
      <w:r>
        <w:rPr>
          <w:rFonts w:hint="default" w:ascii="Times New Roman" w:hAnsi="Times New Roman" w:cs="Times New Roman"/>
          <w:i/>
          <w:iCs/>
          <w:sz w:val="18"/>
          <w:szCs w:val="18"/>
          <w:highlight w:val="none"/>
        </w:rPr>
        <w:t xml:space="preserve"> Sleep Med. Rev.</w:t>
      </w:r>
      <w:r>
        <w:rPr>
          <w:rFonts w:hint="default" w:ascii="Times New Roman" w:hAnsi="Times New Roman" w:cs="Times New Roman"/>
          <w:b/>
          <w:bCs/>
          <w:sz w:val="18"/>
          <w:szCs w:val="18"/>
          <w:highlight w:val="none"/>
        </w:rPr>
        <w:t xml:space="preserve"> 47,</w:t>
      </w:r>
      <w:r>
        <w:rPr>
          <w:rFonts w:hint="default" w:ascii="Times New Roman" w:hAnsi="Times New Roman" w:cs="Times New Roman"/>
          <w:sz w:val="18"/>
          <w:szCs w:val="18"/>
          <w:highlight w:val="none"/>
        </w:rPr>
        <w:t xml:space="preserve"> 51–61 (2019). </w:t>
      </w:r>
      <w:r>
        <w:rPr>
          <w:rFonts w:hint="default" w:ascii="Times New Roman" w:hAnsi="Times New Roman" w:cs="Times New Roman"/>
          <w:sz w:val="18"/>
          <w:szCs w:val="18"/>
          <w:highlight w:val="none"/>
        </w:rPr>
        <w:fldChar w:fldCharType="begin"/>
      </w:r>
      <w:r>
        <w:rPr>
          <w:rFonts w:hint="default" w:ascii="Times New Roman" w:hAnsi="Times New Roman" w:cs="Times New Roman"/>
          <w:sz w:val="18"/>
          <w:szCs w:val="18"/>
          <w:highlight w:val="none"/>
        </w:rPr>
        <w:instrText xml:space="preserve"> HYPERLINK "https://doi.org/10.1016/j.smrv.2019.06.004" </w:instrText>
      </w:r>
      <w:r>
        <w:rPr>
          <w:rFonts w:hint="default" w:ascii="Times New Roman" w:hAnsi="Times New Roman" w:cs="Times New Roman"/>
          <w:sz w:val="18"/>
          <w:szCs w:val="18"/>
          <w:highlight w:val="none"/>
        </w:rPr>
        <w:fldChar w:fldCharType="separate"/>
      </w:r>
      <w:r>
        <w:rPr>
          <w:rFonts w:hint="default" w:ascii="Times New Roman" w:hAnsi="Times New Roman" w:cs="Times New Roman"/>
          <w:sz w:val="18"/>
          <w:szCs w:val="18"/>
          <w:highlight w:val="none"/>
        </w:rPr>
        <w:t>https://doi.org/10.1016/j.smrv.2019.06.004</w:t>
      </w:r>
      <w:r>
        <w:rPr>
          <w:rFonts w:hint="default" w:ascii="Times New Roman" w:hAnsi="Times New Roman" w:cs="Times New Roman"/>
          <w:sz w:val="18"/>
          <w:szCs w:val="18"/>
          <w:highlight w:val="none"/>
        </w:rPr>
        <w:fldChar w:fldCharType="end"/>
      </w:r>
    </w:p>
    <w:p w14:paraId="59AC00AF">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10</w:t>
      </w:r>
      <w:r>
        <w:rPr>
          <w:rFonts w:hint="default" w:ascii="Times New Roman" w:hAnsi="Times New Roman" w:cs="Times New Roman"/>
          <w:sz w:val="18"/>
          <w:szCs w:val="18"/>
          <w:highlight w:val="none"/>
        </w:rPr>
        <w:t xml:space="preserve">. Orben, A. &amp; Przybylski, A. K. The association between adolescent well-being and digital technology use. </w:t>
      </w:r>
      <w:r>
        <w:rPr>
          <w:rFonts w:hint="default" w:ascii="Times New Roman" w:hAnsi="Times New Roman" w:cs="Times New Roman"/>
          <w:i/>
          <w:iCs/>
          <w:sz w:val="18"/>
          <w:szCs w:val="18"/>
          <w:highlight w:val="none"/>
        </w:rPr>
        <w:t xml:space="preserve">Nat. Hum. Behav. </w:t>
      </w:r>
      <w:r>
        <w:rPr>
          <w:rFonts w:hint="default" w:ascii="Times New Roman" w:hAnsi="Times New Roman" w:cs="Times New Roman"/>
          <w:b/>
          <w:bCs/>
          <w:sz w:val="18"/>
          <w:szCs w:val="18"/>
          <w:highlight w:val="none"/>
        </w:rPr>
        <w:t xml:space="preserve">3, </w:t>
      </w:r>
      <w:r>
        <w:rPr>
          <w:rFonts w:hint="default" w:ascii="Times New Roman" w:hAnsi="Times New Roman" w:cs="Times New Roman"/>
          <w:sz w:val="18"/>
          <w:szCs w:val="18"/>
          <w:highlight w:val="none"/>
        </w:rPr>
        <w:t>173–182</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(2019). https://doi.org/10.1038/s41562-018-0506-1</w:t>
      </w:r>
    </w:p>
    <w:p w14:paraId="05DE90FC">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11</w:t>
      </w:r>
      <w:r>
        <w:rPr>
          <w:rFonts w:hint="default" w:ascii="Times New Roman" w:hAnsi="Times New Roman" w:cs="Times New Roman"/>
          <w:sz w:val="18"/>
          <w:szCs w:val="18"/>
          <w:highlight w:val="none"/>
        </w:rPr>
        <w:t>. Roberston, L., Twenge, J. M., Joiner, T. E. &amp; Cummins, K. Associations between screen time and internalizing disorder diagnoses among 9- to 10-year-olds.</w:t>
      </w:r>
      <w:r>
        <w:rPr>
          <w:rFonts w:hint="default" w:ascii="Times New Roman" w:hAnsi="Times New Roman" w:cs="Times New Roman"/>
          <w:i/>
          <w:iCs/>
          <w:sz w:val="18"/>
          <w:szCs w:val="18"/>
          <w:highlight w:val="none"/>
        </w:rPr>
        <w:t xml:space="preserve"> J. Affect. Disord.</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311, </w:t>
      </w:r>
      <w:r>
        <w:rPr>
          <w:rFonts w:hint="default" w:ascii="Times New Roman" w:hAnsi="Times New Roman" w:cs="Times New Roman"/>
          <w:sz w:val="18"/>
          <w:szCs w:val="18"/>
          <w:highlight w:val="none"/>
        </w:rPr>
        <w:t>530–537</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(2022). https://doi.org/10.1016/j.jad.2022.05.071</w:t>
      </w:r>
    </w:p>
    <w:p w14:paraId="21D90752">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12. Borsboom, D. A network theory of mental disorders.</w:t>
      </w:r>
      <w:r>
        <w:rPr>
          <w:rFonts w:hint="default" w:ascii="Times New Roman" w:hAnsi="Times New Roman" w:cs="Times New Roman"/>
          <w:i/>
          <w:iCs/>
          <w:sz w:val="18"/>
          <w:szCs w:val="18"/>
          <w:highlight w:val="none"/>
        </w:rPr>
        <w:t xml:space="preserve"> World Psychiatry</w:t>
      </w:r>
      <w:r>
        <w:rPr>
          <w:rFonts w:hint="default" w:ascii="Times New Roman" w:hAnsi="Times New Roman" w:cs="Times New Roman"/>
          <w:b/>
          <w:bCs/>
          <w:sz w:val="18"/>
          <w:szCs w:val="18"/>
          <w:highlight w:val="none"/>
        </w:rPr>
        <w:t xml:space="preserve"> 16,</w:t>
      </w:r>
      <w:r>
        <w:rPr>
          <w:rFonts w:hint="default" w:ascii="Times New Roman" w:hAnsi="Times New Roman" w:cs="Times New Roman"/>
          <w:sz w:val="18"/>
          <w:szCs w:val="18"/>
          <w:highlight w:val="none"/>
        </w:rPr>
        <w:t xml:space="preserve"> 5–13 (2017). https://doi.org/10.1002/wps.20375</w:t>
      </w:r>
    </w:p>
    <w:p w14:paraId="1DFA94B5">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13. Bringmann, L. F. et al. Psychopathological networks: theory, methods and practice.</w:t>
      </w:r>
      <w:r>
        <w:rPr>
          <w:rFonts w:hint="default" w:ascii="Times New Roman" w:hAnsi="Times New Roman" w:cs="Times New Roman"/>
          <w:i/>
          <w:iCs/>
          <w:sz w:val="18"/>
          <w:szCs w:val="18"/>
          <w:highlight w:val="none"/>
        </w:rPr>
        <w:t xml:space="preserve"> Behav. Res. Ther. </w:t>
      </w:r>
      <w:r>
        <w:rPr>
          <w:rFonts w:hint="default" w:ascii="Times New Roman" w:hAnsi="Times New Roman" w:cs="Times New Roman"/>
          <w:b/>
          <w:bCs/>
          <w:sz w:val="18"/>
          <w:szCs w:val="18"/>
          <w:highlight w:val="none"/>
        </w:rPr>
        <w:t>149,</w:t>
      </w:r>
      <w:r>
        <w:rPr>
          <w:rFonts w:hint="default" w:ascii="Times New Roman" w:hAnsi="Times New Roman" w:cs="Times New Roman"/>
          <w:sz w:val="18"/>
          <w:szCs w:val="18"/>
          <w:highlight w:val="none"/>
        </w:rPr>
        <w:t xml:space="preserve"> 104011 (2022). https://doi.org/10.1016/j.brat.2021.104011</w:t>
      </w:r>
    </w:p>
    <w:p w14:paraId="312794E8">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 xml:space="preserve">14. Cramer, A. O. J., Waldorp, L. J., van der Maas, H. L. J. &amp; Borsboom, D. Comorbidity: a network perspective. </w:t>
      </w:r>
      <w:r>
        <w:rPr>
          <w:rFonts w:hint="default" w:ascii="Times New Roman" w:hAnsi="Times New Roman" w:cs="Times New Roman"/>
          <w:i/>
          <w:iCs/>
          <w:sz w:val="18"/>
          <w:szCs w:val="18"/>
          <w:highlight w:val="none"/>
        </w:rPr>
        <w:t>Behav. Brain Sci.</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33, </w:t>
      </w:r>
      <w:r>
        <w:rPr>
          <w:rFonts w:hint="default" w:ascii="Times New Roman" w:hAnsi="Times New Roman" w:cs="Times New Roman"/>
          <w:sz w:val="18"/>
          <w:szCs w:val="18"/>
          <w:highlight w:val="none"/>
        </w:rPr>
        <w:t>137–150 (2010). https://doi.org/10.1017/S0140525X09991567</w:t>
      </w:r>
    </w:p>
    <w:p w14:paraId="5688681D">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 xml:space="preserve">15. Robinaugh, D. J., Hoekstra, R. H. A., Toner, E. R. &amp; Borsboom, D. The network approach to psychopathology: a review of the literature 2008–2018 and an agenda for future research. </w:t>
      </w:r>
      <w:r>
        <w:rPr>
          <w:rFonts w:hint="default" w:ascii="Times New Roman" w:hAnsi="Times New Roman" w:cs="Times New Roman"/>
          <w:i/>
          <w:iCs/>
          <w:sz w:val="18"/>
          <w:szCs w:val="18"/>
          <w:highlight w:val="none"/>
        </w:rPr>
        <w:t>Psychol. Med.</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50,</w:t>
      </w:r>
      <w:r>
        <w:rPr>
          <w:rFonts w:hint="default" w:ascii="Times New Roman" w:hAnsi="Times New Roman" w:cs="Times New Roman"/>
          <w:sz w:val="18"/>
          <w:szCs w:val="18"/>
          <w:highlight w:val="none"/>
        </w:rPr>
        <w:t xml:space="preserve"> 353–366 (2020). https://doi.org/10.1017/S0033291719003404</w:t>
      </w:r>
    </w:p>
    <w:p w14:paraId="4A0F0696">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16. Monteleone, A. M. &amp; Cascino, G. A systematic review of network analysis studies in eating disorders: is time to broaden the core psychopathology to non-specific symptoms.</w:t>
      </w:r>
      <w:r>
        <w:rPr>
          <w:rFonts w:hint="default" w:ascii="Times New Roman" w:hAnsi="Times New Roman" w:cs="Times New Roman"/>
          <w:i/>
          <w:iCs/>
          <w:sz w:val="18"/>
          <w:szCs w:val="18"/>
          <w:highlight w:val="none"/>
        </w:rPr>
        <w:t xml:space="preserve"> Eur. Eat. Disord. Rev.</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29,</w:t>
      </w:r>
      <w:r>
        <w:rPr>
          <w:rFonts w:hint="default" w:ascii="Times New Roman" w:hAnsi="Times New Roman" w:cs="Times New Roman"/>
          <w:sz w:val="18"/>
          <w:szCs w:val="18"/>
          <w:highlight w:val="none"/>
        </w:rPr>
        <w:t xml:space="preserve"> 531–547 (2021). https://doi.org/10.1002/erv.2834</w:t>
      </w:r>
    </w:p>
    <w:p w14:paraId="3D7C9178">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17.</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Heeren, A., Jones, P. J. &amp; McNally, R. J. Mapping network connectivity among symptoms of social anxiety and comorbid depression in people with social anxiety disorder.</w:t>
      </w:r>
      <w:r>
        <w:rPr>
          <w:rFonts w:hint="default" w:ascii="Times New Roman" w:hAnsi="Times New Roman" w:cs="Times New Roman"/>
          <w:i/>
          <w:iCs/>
          <w:sz w:val="18"/>
          <w:szCs w:val="18"/>
          <w:highlight w:val="none"/>
        </w:rPr>
        <w:t xml:space="preserve"> J. Affect. Disord.</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228,</w:t>
      </w:r>
      <w:r>
        <w:rPr>
          <w:rFonts w:hint="default" w:ascii="Times New Roman" w:hAnsi="Times New Roman" w:cs="Times New Roman"/>
          <w:sz w:val="18"/>
          <w:szCs w:val="18"/>
          <w:highlight w:val="none"/>
        </w:rPr>
        <w:t xml:space="preserve"> 75–82 (2018). https://doi.org/10.1016/j.jad.2017.12.003</w:t>
      </w:r>
    </w:p>
    <w:p w14:paraId="24165AF8">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 xml:space="preserve">18. Epskamp, S. &amp; Fried, E. I. A tutorial on regularized partial correlation networks. </w:t>
      </w:r>
      <w:r>
        <w:rPr>
          <w:rFonts w:hint="default" w:ascii="Times New Roman" w:hAnsi="Times New Roman" w:cs="Times New Roman"/>
          <w:i/>
          <w:iCs/>
          <w:sz w:val="18"/>
          <w:szCs w:val="18"/>
          <w:highlight w:val="none"/>
        </w:rPr>
        <w:t>Psychol. Methods</w:t>
      </w:r>
      <w:r>
        <w:rPr>
          <w:rFonts w:hint="default" w:ascii="Times New Roman" w:hAnsi="Times New Roman" w:cs="Times New Roman"/>
          <w:b/>
          <w:bCs/>
          <w:i/>
          <w:iCs/>
          <w:sz w:val="18"/>
          <w:szCs w:val="18"/>
          <w:highlight w:val="none"/>
        </w:rPr>
        <w:t xml:space="preserve"> </w:t>
      </w:r>
      <w:r>
        <w:rPr>
          <w:rFonts w:hint="default" w:ascii="Times New Roman" w:hAnsi="Times New Roman" w:cs="Times New Roman"/>
          <w:b/>
          <w:bCs/>
          <w:sz w:val="18"/>
          <w:szCs w:val="18"/>
          <w:highlight w:val="none"/>
        </w:rPr>
        <w:t xml:space="preserve">23, </w:t>
      </w:r>
      <w:r>
        <w:rPr>
          <w:rFonts w:hint="default" w:ascii="Times New Roman" w:hAnsi="Times New Roman" w:cs="Times New Roman"/>
          <w:sz w:val="18"/>
          <w:szCs w:val="18"/>
          <w:highlight w:val="none"/>
        </w:rPr>
        <w:t>617–634 (2018).</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https://doi.org/10.1037/met0000167</w:t>
      </w:r>
    </w:p>
    <w:p w14:paraId="72CA3086">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 xml:space="preserve">19. Epskamp, S., Borsboom, D. &amp; Fried, E. I. Estimating psychological networks and their accuracy: a tutorial paper. </w:t>
      </w:r>
      <w:r>
        <w:rPr>
          <w:rFonts w:hint="default" w:ascii="Times New Roman" w:hAnsi="Times New Roman" w:cs="Times New Roman"/>
          <w:i/>
          <w:iCs/>
          <w:sz w:val="18"/>
          <w:szCs w:val="18"/>
          <w:highlight w:val="none"/>
        </w:rPr>
        <w:t>Behav. Res. Methods</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50, </w:t>
      </w:r>
      <w:r>
        <w:rPr>
          <w:rFonts w:hint="default" w:ascii="Times New Roman" w:hAnsi="Times New Roman" w:cs="Times New Roman"/>
          <w:sz w:val="18"/>
          <w:szCs w:val="18"/>
          <w:highlight w:val="none"/>
        </w:rPr>
        <w:t>195–212 (2018). https://doi.org/10.3758/s13428-017-0862-1</w:t>
      </w:r>
    </w:p>
    <w:p w14:paraId="51B4784B">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 xml:space="preserve">20. Liu, Y. Y., Slotine, J. J. &amp; Barabási, A. L. Controllability of complex networks. </w:t>
      </w:r>
      <w:r>
        <w:rPr>
          <w:rFonts w:hint="default" w:ascii="Times New Roman" w:hAnsi="Times New Roman" w:cs="Times New Roman"/>
          <w:i/>
          <w:iCs/>
          <w:sz w:val="18"/>
          <w:szCs w:val="18"/>
          <w:highlight w:val="none"/>
        </w:rPr>
        <w:t>Nature</w:t>
      </w:r>
      <w:r>
        <w:rPr>
          <w:rFonts w:hint="default" w:ascii="Times New Roman" w:hAnsi="Times New Roman" w:cs="Times New Roman"/>
          <w:b/>
          <w:bCs/>
          <w:sz w:val="18"/>
          <w:szCs w:val="18"/>
          <w:highlight w:val="none"/>
        </w:rPr>
        <w:t xml:space="preserve"> 473, </w:t>
      </w:r>
      <w:r>
        <w:rPr>
          <w:rFonts w:hint="default" w:ascii="Times New Roman" w:hAnsi="Times New Roman" w:cs="Times New Roman"/>
          <w:sz w:val="18"/>
          <w:szCs w:val="18"/>
          <w:highlight w:val="none"/>
        </w:rPr>
        <w:t>167–173 (2011). https://doi.org/10.1038/nature10011</w:t>
      </w:r>
    </w:p>
    <w:p w14:paraId="1377B994">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 xml:space="preserve">21. Nacher, J. C. &amp; Akutsu, T. </w:t>
      </w:r>
      <w:r>
        <w:rPr>
          <w:rFonts w:hint="eastAsia" w:eastAsia="宋体" w:cs="Times New Roman"/>
          <w:sz w:val="18"/>
          <w:szCs w:val="18"/>
          <w:highlight w:val="none"/>
          <w:lang w:eastAsia="zh-CN"/>
        </w:rPr>
        <w:t>Minimum dominating set</w:t>
      </w:r>
      <w:r>
        <w:rPr>
          <w:rFonts w:hint="default" w:ascii="Times New Roman" w:hAnsi="Times New Roman" w:cs="Times New Roman"/>
          <w:sz w:val="18"/>
          <w:szCs w:val="18"/>
          <w:highlight w:val="none"/>
        </w:rPr>
        <w:t>-based methods for analyzing biological networks.</w:t>
      </w:r>
      <w:r>
        <w:rPr>
          <w:rFonts w:hint="default" w:ascii="Times New Roman" w:hAnsi="Times New Roman" w:cs="Times New Roman"/>
          <w:i/>
          <w:iCs/>
          <w:sz w:val="18"/>
          <w:szCs w:val="18"/>
          <w:highlight w:val="none"/>
        </w:rPr>
        <w:t xml:space="preserve"> Methods </w:t>
      </w:r>
      <w:r>
        <w:rPr>
          <w:rFonts w:hint="default" w:ascii="Times New Roman" w:hAnsi="Times New Roman" w:cs="Times New Roman"/>
          <w:b/>
          <w:bCs/>
          <w:sz w:val="18"/>
          <w:szCs w:val="18"/>
          <w:highlight w:val="none"/>
        </w:rPr>
        <w:t>102,</w:t>
      </w:r>
      <w:r>
        <w:rPr>
          <w:rFonts w:hint="default" w:ascii="Times New Roman" w:hAnsi="Times New Roman" w:cs="Times New Roman"/>
          <w:sz w:val="18"/>
          <w:szCs w:val="18"/>
          <w:highlight w:val="none"/>
        </w:rPr>
        <w:t xml:space="preserve"> 57–63 (2016). https://doi.org/10.1016/j.ymeth.2015.12.017</w:t>
      </w:r>
    </w:p>
    <w:p w14:paraId="73171E8E">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22.</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Pan, C. et al. Module control of network analysis in psychopathology.</w:t>
      </w:r>
      <w:r>
        <w:rPr>
          <w:rFonts w:hint="default" w:ascii="Times New Roman" w:hAnsi="Times New Roman" w:cs="Times New Roman"/>
          <w:i/>
          <w:iCs/>
          <w:sz w:val="18"/>
          <w:szCs w:val="18"/>
          <w:highlight w:val="none"/>
        </w:rPr>
        <w:t xml:space="preserve"> iScience</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27, </w:t>
      </w:r>
      <w:r>
        <w:rPr>
          <w:rFonts w:hint="default" w:ascii="Times New Roman" w:hAnsi="Times New Roman" w:cs="Times New Roman"/>
          <w:sz w:val="18"/>
          <w:szCs w:val="18"/>
          <w:highlight w:val="none"/>
        </w:rPr>
        <w:t>110302 (2024). https://doi.org/10.1016/j.isci.2024.110302</w:t>
      </w:r>
    </w:p>
    <w:p w14:paraId="58FC2BD7">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23.</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 xml:space="preserve">Burger, J. et al. Reporting standards for psychological network analyses in cross-sectional data. Psychol. </w:t>
      </w:r>
      <w:r>
        <w:rPr>
          <w:rFonts w:hint="default" w:ascii="Times New Roman" w:hAnsi="Times New Roman" w:cs="Times New Roman"/>
          <w:i/>
          <w:iCs/>
          <w:sz w:val="18"/>
          <w:szCs w:val="18"/>
          <w:highlight w:val="none"/>
        </w:rPr>
        <w:t>Methods</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28,</w:t>
      </w:r>
      <w:r>
        <w:rPr>
          <w:rFonts w:hint="default" w:ascii="Times New Roman" w:hAnsi="Times New Roman" w:cs="Times New Roman"/>
          <w:sz w:val="18"/>
          <w:szCs w:val="18"/>
          <w:highlight w:val="none"/>
        </w:rPr>
        <w:t xml:space="preserve"> 806–824 (2023). https://doi.org/10.1037/met0000471</w:t>
      </w:r>
    </w:p>
    <w:p w14:paraId="5D2AB37E">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24. Fried, E. I. &amp; Cramer, A. O. J. Moving forward: challenges and directions for psychopathological network theory and methodology.</w:t>
      </w:r>
      <w:r>
        <w:rPr>
          <w:rFonts w:hint="default" w:ascii="Times New Roman" w:hAnsi="Times New Roman" w:cs="Times New Roman"/>
          <w:i/>
          <w:iCs/>
          <w:sz w:val="18"/>
          <w:szCs w:val="18"/>
          <w:highlight w:val="none"/>
        </w:rPr>
        <w:t xml:space="preserve"> Perspect. Psychol. Sci.</w:t>
      </w:r>
      <w:r>
        <w:rPr>
          <w:rFonts w:hint="default" w:ascii="Times New Roman" w:hAnsi="Times New Roman" w:cs="Times New Roman"/>
          <w:b/>
          <w:bCs/>
          <w:sz w:val="18"/>
          <w:szCs w:val="18"/>
          <w:highlight w:val="none"/>
        </w:rPr>
        <w:t xml:space="preserve"> 12,</w:t>
      </w:r>
      <w:r>
        <w:rPr>
          <w:rFonts w:hint="default" w:ascii="Times New Roman" w:hAnsi="Times New Roman" w:cs="Times New Roman"/>
          <w:sz w:val="18"/>
          <w:szCs w:val="18"/>
          <w:highlight w:val="none"/>
        </w:rPr>
        <w:t xml:space="preserve"> 999–1020 (2017). https://doi.org/10.1177/1745691617705892</w:t>
      </w:r>
    </w:p>
    <w:p w14:paraId="4A34C130">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 xml:space="preserve">25. Lunansky, G. et al. Intervening on psychopathology networks: evaluating intervention targets through simulations. </w:t>
      </w:r>
      <w:r>
        <w:rPr>
          <w:rFonts w:hint="default" w:ascii="Times New Roman" w:hAnsi="Times New Roman" w:cs="Times New Roman"/>
          <w:i/>
          <w:iCs/>
          <w:sz w:val="18"/>
          <w:szCs w:val="18"/>
          <w:highlight w:val="none"/>
        </w:rPr>
        <w:t>Methods</w:t>
      </w:r>
      <w:r>
        <w:rPr>
          <w:rFonts w:hint="default" w:ascii="Times New Roman" w:hAnsi="Times New Roman" w:cs="Times New Roman"/>
          <w:b/>
          <w:bCs/>
          <w:sz w:val="18"/>
          <w:szCs w:val="18"/>
          <w:highlight w:val="none"/>
        </w:rPr>
        <w:t xml:space="preserve"> 204,</w:t>
      </w:r>
      <w:r>
        <w:rPr>
          <w:rFonts w:hint="default" w:ascii="Times New Roman" w:hAnsi="Times New Roman" w:cs="Times New Roman"/>
          <w:sz w:val="18"/>
          <w:szCs w:val="18"/>
          <w:highlight w:val="none"/>
        </w:rPr>
        <w:t xml:space="preserve"> 29–37 (2022). https://doi.org/10.1016/j.ymeth.2021.11.006</w:t>
      </w:r>
    </w:p>
    <w:p w14:paraId="64E4352A">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26. Ye, X., Fong, T. C. T. &amp; Yip, P. S. F. A cross-lagged panel network model on internet gaming disorder and depressive symptoms concerning preferences for game genres.</w:t>
      </w:r>
      <w:r>
        <w:rPr>
          <w:rFonts w:hint="default" w:ascii="Times New Roman" w:hAnsi="Times New Roman" w:cs="Times New Roman"/>
          <w:i/>
          <w:iCs/>
          <w:sz w:val="18"/>
          <w:szCs w:val="18"/>
          <w:highlight w:val="none"/>
        </w:rPr>
        <w:t xml:space="preserve"> J. Affect. Disord. </w:t>
      </w:r>
      <w:r>
        <w:rPr>
          <w:rFonts w:hint="default" w:ascii="Times New Roman" w:hAnsi="Times New Roman" w:cs="Times New Roman"/>
          <w:b/>
          <w:bCs/>
          <w:sz w:val="18"/>
          <w:szCs w:val="18"/>
          <w:highlight w:val="none"/>
        </w:rPr>
        <w:t>375,</w:t>
      </w:r>
      <w:r>
        <w:rPr>
          <w:rFonts w:hint="default" w:ascii="Times New Roman" w:hAnsi="Times New Roman" w:cs="Times New Roman"/>
          <w:sz w:val="18"/>
          <w:szCs w:val="18"/>
          <w:highlight w:val="none"/>
        </w:rPr>
        <w:t xml:space="preserve"> 27–34 (2025). https://doi.org/10.1016/j.jad.2025.01.006</w:t>
      </w:r>
    </w:p>
    <w:p w14:paraId="761F5D72">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27</w:t>
      </w:r>
      <w:r>
        <w:rPr>
          <w:rFonts w:hint="default" w:ascii="Times New Roman" w:hAnsi="Times New Roman" w:cs="Times New Roman"/>
          <w:sz w:val="18"/>
          <w:szCs w:val="18"/>
          <w:highlight w:val="none"/>
        </w:rPr>
        <w:t xml:space="preserve">. Zhang, R. et al. School-based Evaluation Advancing Response for Child Health (SEARCH): a mixed longitudinal cohort study from multifaceted perspectives in Jiangsu, China. </w:t>
      </w:r>
      <w:r>
        <w:rPr>
          <w:rFonts w:hint="default" w:ascii="Times New Roman" w:hAnsi="Times New Roman" w:cs="Times New Roman"/>
          <w:i/>
          <w:iCs/>
          <w:sz w:val="18"/>
          <w:szCs w:val="18"/>
          <w:highlight w:val="none"/>
        </w:rPr>
        <w:t>BMJ Ment. Health</w:t>
      </w:r>
      <w:r>
        <w:rPr>
          <w:rFonts w:hint="default" w:ascii="Times New Roman" w:hAnsi="Times New Roman" w:cs="Times New Roman"/>
          <w:b/>
          <w:bCs/>
          <w:i/>
          <w:iCs/>
          <w:sz w:val="18"/>
          <w:szCs w:val="18"/>
          <w:highlight w:val="none"/>
        </w:rPr>
        <w:t xml:space="preserve"> </w:t>
      </w:r>
      <w:r>
        <w:rPr>
          <w:rFonts w:hint="default" w:ascii="Times New Roman" w:hAnsi="Times New Roman" w:cs="Times New Roman"/>
          <w:b/>
          <w:bCs/>
          <w:sz w:val="18"/>
          <w:szCs w:val="18"/>
          <w:highlight w:val="none"/>
        </w:rPr>
        <w:t xml:space="preserve">26, </w:t>
      </w:r>
      <w:r>
        <w:rPr>
          <w:rFonts w:hint="default" w:ascii="Times New Roman" w:hAnsi="Times New Roman" w:cs="Times New Roman"/>
          <w:sz w:val="18"/>
          <w:szCs w:val="18"/>
          <w:highlight w:val="none"/>
        </w:rPr>
        <w:t xml:space="preserve">e300861 (2023). </w:t>
      </w:r>
      <w:r>
        <w:rPr>
          <w:rStyle w:val="146"/>
          <w:rFonts w:hint="default" w:ascii="Times New Roman" w:hAnsi="Times New Roman" w:cs="Times New Roman"/>
          <w:sz w:val="18"/>
          <w:szCs w:val="18"/>
          <w:highlight w:val="none"/>
        </w:rPr>
        <w:fldChar w:fldCharType="begin"/>
      </w:r>
      <w:r>
        <w:rPr>
          <w:rStyle w:val="146"/>
          <w:rFonts w:hint="default" w:ascii="Times New Roman" w:hAnsi="Times New Roman" w:cs="Times New Roman"/>
          <w:sz w:val="18"/>
          <w:szCs w:val="18"/>
          <w:highlight w:val="none"/>
        </w:rPr>
        <w:instrText xml:space="preserve"> HYPERLINK "https://doi.org/10.1136/bmjment-2023-300861" </w:instrText>
      </w:r>
      <w:r>
        <w:rPr>
          <w:rStyle w:val="146"/>
          <w:rFonts w:hint="default" w:ascii="Times New Roman" w:hAnsi="Times New Roman" w:cs="Times New Roman"/>
          <w:sz w:val="18"/>
          <w:szCs w:val="18"/>
          <w:highlight w:val="none"/>
        </w:rPr>
        <w:fldChar w:fldCharType="separate"/>
      </w:r>
      <w:r>
        <w:rPr>
          <w:rStyle w:val="146"/>
          <w:rFonts w:hint="default" w:ascii="Times New Roman" w:hAnsi="Times New Roman" w:cs="Times New Roman"/>
          <w:sz w:val="18"/>
          <w:szCs w:val="18"/>
          <w:highlight w:val="none"/>
        </w:rPr>
        <w:t>https://doi.org/10.1136/bmjment-2023-300861</w:t>
      </w:r>
      <w:r>
        <w:rPr>
          <w:rStyle w:val="146"/>
          <w:rFonts w:hint="default" w:ascii="Times New Roman" w:hAnsi="Times New Roman" w:cs="Times New Roman"/>
          <w:sz w:val="18"/>
          <w:szCs w:val="18"/>
          <w:highlight w:val="none"/>
        </w:rPr>
        <w:fldChar w:fldCharType="end"/>
      </w:r>
    </w:p>
    <w:p w14:paraId="21D86739">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2</w:t>
      </w:r>
      <w:r>
        <w:rPr>
          <w:rFonts w:hint="eastAsia" w:eastAsia="宋体" w:cs="Times New Roman"/>
          <w:sz w:val="18"/>
          <w:szCs w:val="18"/>
          <w:highlight w:val="none"/>
          <w:lang w:val="en-US" w:eastAsia="zh-CN"/>
        </w:rPr>
        <w:t>8</w:t>
      </w:r>
      <w:r>
        <w:rPr>
          <w:rFonts w:hint="default" w:ascii="Times New Roman" w:hAnsi="Times New Roman" w:cs="Times New Roman"/>
          <w:sz w:val="18"/>
          <w:szCs w:val="18"/>
          <w:highlight w:val="none"/>
        </w:rPr>
        <w:t>. Connelly, R. &amp; Platt, L. Cohort profile: UK Millennium Cohort Study (MCS).</w:t>
      </w:r>
      <w:r>
        <w:rPr>
          <w:rFonts w:hint="default" w:ascii="Times New Roman" w:hAnsi="Times New Roman" w:cs="Times New Roman"/>
          <w:i/>
          <w:iCs/>
          <w:sz w:val="18"/>
          <w:szCs w:val="18"/>
          <w:highlight w:val="none"/>
        </w:rPr>
        <w:t xml:space="preserve"> Int. J. Epidemiol. </w:t>
      </w:r>
      <w:r>
        <w:rPr>
          <w:rFonts w:hint="default" w:ascii="Times New Roman" w:hAnsi="Times New Roman" w:cs="Times New Roman"/>
          <w:b/>
          <w:bCs/>
          <w:sz w:val="18"/>
          <w:szCs w:val="18"/>
          <w:highlight w:val="none"/>
        </w:rPr>
        <w:t>43</w:t>
      </w:r>
      <w:r>
        <w:rPr>
          <w:rFonts w:hint="default" w:ascii="Times New Roman" w:hAnsi="Times New Roman" w:cs="Times New Roman"/>
          <w:sz w:val="18"/>
          <w:szCs w:val="18"/>
          <w:highlight w:val="none"/>
        </w:rPr>
        <w:t>, 1719–1725 (2014). https://doi.org/10.1093/ije/dyu001</w:t>
      </w:r>
    </w:p>
    <w:p w14:paraId="349A7F8E">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29</w:t>
      </w:r>
      <w:r>
        <w:rPr>
          <w:rFonts w:hint="default" w:ascii="Times New Roman" w:hAnsi="Times New Roman" w:cs="Times New Roman"/>
          <w:sz w:val="18"/>
          <w:szCs w:val="18"/>
          <w:highlight w:val="none"/>
        </w:rPr>
        <w:t>. Newson, J. &amp; Thiagarajan, T. Dynamic dataset of global population mental wellbeing. PsyArXiv (2021). https://doi.org/10.31234/osf.io/vtzne</w:t>
      </w:r>
    </w:p>
    <w:p w14:paraId="77F49DF7">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30</w:t>
      </w:r>
      <w:r>
        <w:rPr>
          <w:rFonts w:hint="default" w:ascii="Times New Roman" w:hAnsi="Times New Roman" w:cs="Times New Roman"/>
          <w:sz w:val="18"/>
          <w:szCs w:val="18"/>
          <w:highlight w:val="none"/>
        </w:rPr>
        <w:t>. Newson, J. J., Sukhoi, O. &amp; Thiagarajan, T. C. MHQ: constructing an aggregate metric of population mental wellbeing</w:t>
      </w:r>
      <w:r>
        <w:rPr>
          <w:rFonts w:hint="default" w:ascii="Times New Roman" w:hAnsi="Times New Roman" w:cs="Times New Roman"/>
          <w:i/>
          <w:iCs/>
          <w:sz w:val="18"/>
          <w:szCs w:val="18"/>
          <w:highlight w:val="none"/>
        </w:rPr>
        <w:t xml:space="preserve">. Popul. Health Metr. </w:t>
      </w:r>
      <w:r>
        <w:rPr>
          <w:rFonts w:hint="default" w:ascii="Times New Roman" w:hAnsi="Times New Roman" w:cs="Times New Roman"/>
          <w:b/>
          <w:bCs/>
          <w:sz w:val="18"/>
          <w:szCs w:val="18"/>
          <w:highlight w:val="none"/>
        </w:rPr>
        <w:t>22,</w:t>
      </w:r>
      <w:r>
        <w:rPr>
          <w:rFonts w:hint="default" w:ascii="Times New Roman" w:hAnsi="Times New Roman" w:cs="Times New Roman"/>
          <w:sz w:val="18"/>
          <w:szCs w:val="18"/>
          <w:highlight w:val="none"/>
        </w:rPr>
        <w:t xml:space="preserve"> 16 (2024). https://doi.org/10.1186/s12963-024-00336-y</w:t>
      </w:r>
    </w:p>
    <w:p w14:paraId="05FCBCD1">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31</w:t>
      </w:r>
      <w:r>
        <w:rPr>
          <w:rFonts w:hint="default" w:ascii="Times New Roman" w:hAnsi="Times New Roman" w:cs="Times New Roman"/>
          <w:sz w:val="18"/>
          <w:szCs w:val="18"/>
          <w:highlight w:val="none"/>
        </w:rPr>
        <w:t>.</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Traag, V.</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A., Waltman, L. &amp; van Eck, N.</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J. From Louvain to Leiden: guaranteeing well-connected communities.</w:t>
      </w:r>
      <w:r>
        <w:rPr>
          <w:rFonts w:hint="default" w:ascii="Times New Roman" w:hAnsi="Times New Roman" w:eastAsia="宋体" w:cs="Times New Roman"/>
          <w:i/>
          <w:iCs/>
          <w:sz w:val="18"/>
          <w:szCs w:val="18"/>
          <w:highlight w:val="none"/>
          <w:lang w:val="en-US" w:eastAsia="zh-CN"/>
        </w:rPr>
        <w:t xml:space="preserve"> </w:t>
      </w:r>
      <w:r>
        <w:rPr>
          <w:rFonts w:hint="default" w:ascii="Times New Roman" w:hAnsi="Times New Roman" w:cs="Times New Roman"/>
          <w:i/>
          <w:iCs/>
          <w:sz w:val="18"/>
          <w:szCs w:val="18"/>
          <w:highlight w:val="none"/>
        </w:rPr>
        <w:t>Sci. Rep.</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9,</w:t>
      </w:r>
      <w:r>
        <w:rPr>
          <w:rFonts w:hint="default" w:ascii="Times New Roman" w:hAnsi="Times New Roman" w:cs="Times New Roman"/>
          <w:sz w:val="18"/>
          <w:szCs w:val="18"/>
          <w:highlight w:val="none"/>
        </w:rPr>
        <w:t xml:space="preserve"> 5233 (2019). https://doi.org/10.1038/s41598-019-41695-z</w:t>
      </w:r>
    </w:p>
    <w:p w14:paraId="4BE45FDD">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32</w:t>
      </w:r>
      <w:r>
        <w:rPr>
          <w:rFonts w:hint="default" w:ascii="Times New Roman" w:hAnsi="Times New Roman" w:cs="Times New Roman"/>
          <w:sz w:val="18"/>
          <w:szCs w:val="18"/>
          <w:highlight w:val="none"/>
        </w:rPr>
        <w:t>.</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Jones, P. J., Ma, R. &amp; McNally, R. J. Bridge centrality: a network approach to understanding comorbidity.</w:t>
      </w:r>
      <w:r>
        <w:rPr>
          <w:rFonts w:hint="default" w:ascii="Times New Roman" w:hAnsi="Times New Roman" w:cs="Times New Roman"/>
          <w:i/>
          <w:iCs/>
          <w:sz w:val="18"/>
          <w:szCs w:val="18"/>
          <w:highlight w:val="none"/>
        </w:rPr>
        <w:t xml:space="preserve"> Multivariate Behav. Res.</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56,</w:t>
      </w:r>
      <w:r>
        <w:rPr>
          <w:rFonts w:hint="default" w:ascii="Times New Roman" w:hAnsi="Times New Roman" w:cs="Times New Roman"/>
          <w:sz w:val="18"/>
          <w:szCs w:val="18"/>
          <w:highlight w:val="none"/>
        </w:rPr>
        <w:t xml:space="preserve"> 353–367 (2021). https://doi.org/10.1080/00273171.2019.1614898</w:t>
      </w:r>
    </w:p>
    <w:p w14:paraId="133E7522">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3</w:t>
      </w:r>
      <w:r>
        <w:rPr>
          <w:rFonts w:hint="eastAsia" w:eastAsia="宋体" w:cs="Times New Roman"/>
          <w:sz w:val="18"/>
          <w:szCs w:val="18"/>
          <w:highlight w:val="none"/>
          <w:lang w:val="en-US" w:eastAsia="zh-CN"/>
        </w:rPr>
        <w:t>3</w:t>
      </w:r>
      <w:r>
        <w:rPr>
          <w:rFonts w:hint="default" w:ascii="Times New Roman" w:hAnsi="Times New Roman" w:cs="Times New Roman"/>
          <w:sz w:val="18"/>
          <w:szCs w:val="18"/>
          <w:highlight w:val="none"/>
        </w:rPr>
        <w:t>.</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 xml:space="preserve">Rodriguez-Ayllon, M. et al. Role of physical activity and sedentary behavior in the mental health of preschoolers, children and adolescents: a systematic review and meta-analysis. </w:t>
      </w:r>
      <w:r>
        <w:rPr>
          <w:rFonts w:hint="default" w:ascii="Times New Roman" w:hAnsi="Times New Roman" w:cs="Times New Roman"/>
          <w:i/>
          <w:iCs/>
          <w:sz w:val="18"/>
          <w:szCs w:val="18"/>
          <w:highlight w:val="none"/>
        </w:rPr>
        <w:t>Sports Med.</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49, </w:t>
      </w:r>
      <w:r>
        <w:rPr>
          <w:rFonts w:hint="default" w:ascii="Times New Roman" w:hAnsi="Times New Roman" w:cs="Times New Roman"/>
          <w:sz w:val="18"/>
          <w:szCs w:val="18"/>
          <w:highlight w:val="none"/>
        </w:rPr>
        <w:t>1383–1410 (2019). https://doi.org/10.1007/s40279-019-01099-5</w:t>
      </w:r>
    </w:p>
    <w:p w14:paraId="7EFCA2EB">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3</w:t>
      </w:r>
      <w:r>
        <w:rPr>
          <w:rFonts w:hint="eastAsia" w:eastAsia="宋体" w:cs="Times New Roman"/>
          <w:sz w:val="18"/>
          <w:szCs w:val="18"/>
          <w:highlight w:val="none"/>
          <w:lang w:val="en-US" w:eastAsia="zh-CN"/>
        </w:rPr>
        <w:t>4</w:t>
      </w:r>
      <w:r>
        <w:rPr>
          <w:rFonts w:hint="default" w:ascii="Times New Roman" w:hAnsi="Times New Roman" w:cs="Times New Roman"/>
          <w:sz w:val="18"/>
          <w:szCs w:val="18"/>
          <w:highlight w:val="none"/>
        </w:rPr>
        <w:t xml:space="preserve">. Orben, A. &amp; Przybylski, A. K. Teenage sleep and technology engagement across the week. </w:t>
      </w:r>
      <w:r>
        <w:rPr>
          <w:rFonts w:hint="default" w:ascii="Times New Roman" w:hAnsi="Times New Roman" w:cs="Times New Roman"/>
          <w:i/>
          <w:iCs/>
          <w:sz w:val="18"/>
          <w:szCs w:val="18"/>
          <w:highlight w:val="none"/>
        </w:rPr>
        <w:t>PeerJ</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8,</w:t>
      </w:r>
      <w:r>
        <w:rPr>
          <w:rFonts w:hint="default" w:ascii="Times New Roman" w:hAnsi="Times New Roman" w:cs="Times New Roman"/>
          <w:sz w:val="18"/>
          <w:szCs w:val="18"/>
          <w:highlight w:val="none"/>
        </w:rPr>
        <w:t xml:space="preserve"> e8427 (2020). https://doi.org/10.7717/peerj.8427</w:t>
      </w:r>
    </w:p>
    <w:p w14:paraId="5B9D664D">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3</w:t>
      </w:r>
      <w:r>
        <w:rPr>
          <w:rFonts w:hint="eastAsia" w:eastAsia="宋体" w:cs="Times New Roman"/>
          <w:sz w:val="18"/>
          <w:szCs w:val="18"/>
          <w:highlight w:val="none"/>
          <w:lang w:val="en-US" w:eastAsia="zh-CN"/>
        </w:rPr>
        <w:t>5</w:t>
      </w:r>
      <w:r>
        <w:rPr>
          <w:rFonts w:hint="default" w:ascii="Times New Roman" w:hAnsi="Times New Roman" w:cs="Times New Roman"/>
          <w:sz w:val="18"/>
          <w:szCs w:val="18"/>
          <w:highlight w:val="none"/>
        </w:rPr>
        <w:t>. Nagata, J. M. et al. Screen time and mental health: a prospective analysis of the Adolescent Brain Cognitive Development (ABCD) Study.</w:t>
      </w:r>
      <w:r>
        <w:rPr>
          <w:rFonts w:hint="default" w:ascii="Times New Roman" w:hAnsi="Times New Roman" w:cs="Times New Roman"/>
          <w:i/>
          <w:iCs/>
          <w:sz w:val="18"/>
          <w:szCs w:val="18"/>
          <w:highlight w:val="none"/>
        </w:rPr>
        <w:t xml:space="preserve"> BMC Public Health</w:t>
      </w:r>
      <w:r>
        <w:rPr>
          <w:rFonts w:hint="default" w:ascii="Times New Roman" w:hAnsi="Times New Roman" w:cs="Times New Roman"/>
          <w:b/>
          <w:bCs/>
          <w:sz w:val="18"/>
          <w:szCs w:val="18"/>
          <w:highlight w:val="none"/>
        </w:rPr>
        <w:t xml:space="preserve"> 24,</w:t>
      </w:r>
      <w:r>
        <w:rPr>
          <w:rFonts w:hint="default" w:ascii="Times New Roman" w:hAnsi="Times New Roman" w:cs="Times New Roman"/>
          <w:sz w:val="18"/>
          <w:szCs w:val="18"/>
          <w:highlight w:val="none"/>
        </w:rPr>
        <w:t xml:space="preserve"> 2686 (2024). https://doi.org/10.1186/s12889-024-20102-x</w:t>
      </w:r>
    </w:p>
    <w:p w14:paraId="521DE1E2">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cs="Times New Roman"/>
          <w:sz w:val="18"/>
          <w:szCs w:val="18"/>
          <w:highlight w:val="none"/>
        </w:rPr>
        <w:t>3</w:t>
      </w:r>
      <w:r>
        <w:rPr>
          <w:rFonts w:hint="eastAsia" w:eastAsia="宋体" w:cs="Times New Roman"/>
          <w:sz w:val="18"/>
          <w:szCs w:val="18"/>
          <w:highlight w:val="none"/>
          <w:lang w:val="en-US" w:eastAsia="zh-CN"/>
        </w:rPr>
        <w:t>6</w:t>
      </w:r>
      <w:r>
        <w:rPr>
          <w:rFonts w:hint="default" w:ascii="Times New Roman" w:hAnsi="Times New Roman" w:cs="Times New Roman"/>
          <w:sz w:val="18"/>
          <w:szCs w:val="18"/>
          <w:highlight w:val="none"/>
        </w:rPr>
        <w:t>. Hamaker, E. L., Kuiper, R. M. &amp; Grasman, R. P. P. P. A critique of the cross-lagged panel model.</w:t>
      </w:r>
      <w:r>
        <w:rPr>
          <w:rFonts w:hint="default" w:ascii="Times New Roman" w:hAnsi="Times New Roman" w:cs="Times New Roman"/>
          <w:i/>
          <w:iCs/>
          <w:sz w:val="18"/>
          <w:szCs w:val="18"/>
          <w:highlight w:val="none"/>
        </w:rPr>
        <w:t xml:space="preserve"> Psychol. Methods</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20,</w:t>
      </w:r>
      <w:r>
        <w:rPr>
          <w:rFonts w:hint="default" w:ascii="Times New Roman" w:hAnsi="Times New Roman" w:cs="Times New Roman"/>
          <w:sz w:val="18"/>
          <w:szCs w:val="18"/>
          <w:highlight w:val="none"/>
        </w:rPr>
        <w:t xml:space="preserve"> 102–116 (2015). https://doi.org/10.1037/a0038889</w:t>
      </w:r>
    </w:p>
    <w:p w14:paraId="3DAA76F2">
      <w:pPr>
        <w:spacing w:after="80" w:line="276" w:lineRule="auto"/>
        <w:ind w:left="432" w:hanging="432"/>
        <w:rPr>
          <w:rFonts w:hint="default" w:ascii="Times New Roman" w:hAnsi="Times New Roman" w:eastAsia="宋体" w:cs="Times New Roman"/>
          <w:sz w:val="18"/>
          <w:szCs w:val="18"/>
          <w:highlight w:val="none"/>
          <w:lang w:val="en-US" w:eastAsia="zh-CN"/>
        </w:rPr>
      </w:pPr>
      <w:r>
        <w:rPr>
          <w:rFonts w:hint="default" w:ascii="Times New Roman" w:hAnsi="Times New Roman" w:cs="Times New Roman"/>
          <w:sz w:val="18"/>
          <w:szCs w:val="18"/>
          <w:highlight w:val="none"/>
        </w:rPr>
        <w:t>3</w:t>
      </w:r>
      <w:r>
        <w:rPr>
          <w:rFonts w:hint="eastAsia" w:eastAsia="宋体" w:cs="Times New Roman"/>
          <w:sz w:val="18"/>
          <w:szCs w:val="18"/>
          <w:highlight w:val="none"/>
          <w:lang w:val="en-US" w:eastAsia="zh-CN"/>
        </w:rPr>
        <w:t>7</w:t>
      </w:r>
      <w:r>
        <w:rPr>
          <w:rFonts w:hint="default" w:ascii="Times New Roman" w:hAnsi="Times New Roman" w:cs="Times New Roman"/>
          <w:sz w:val="18"/>
          <w:szCs w:val="18"/>
          <w:highlight w:val="none"/>
        </w:rPr>
        <w:t xml:space="preserve">. Siepe, B. S. et al. Time-varying network models for the temporal dynamics of depressive symptomatology in patients with depressive disorders: secondary analysis of longitudinal observational data. </w:t>
      </w:r>
      <w:r>
        <w:rPr>
          <w:rFonts w:hint="default" w:ascii="Times New Roman" w:hAnsi="Times New Roman" w:cs="Times New Roman"/>
          <w:i/>
          <w:iCs/>
          <w:sz w:val="18"/>
          <w:szCs w:val="18"/>
          <w:highlight w:val="none"/>
        </w:rPr>
        <w:t>JMIR Ment. Health</w:t>
      </w:r>
      <w:r>
        <w:rPr>
          <w:rFonts w:hint="default" w:ascii="Times New Roman" w:hAnsi="Times New Roman" w:cs="Times New Roman"/>
          <w:b/>
          <w:bCs/>
          <w:sz w:val="18"/>
          <w:szCs w:val="18"/>
          <w:highlight w:val="none"/>
        </w:rPr>
        <w:t xml:space="preserve"> 11,</w:t>
      </w:r>
      <w:r>
        <w:rPr>
          <w:rFonts w:hint="default" w:ascii="Times New Roman" w:hAnsi="Times New Roman" w:cs="Times New Roman"/>
          <w:sz w:val="18"/>
          <w:szCs w:val="18"/>
          <w:highlight w:val="none"/>
        </w:rPr>
        <w:t xml:space="preserve"> e50136 (2024). https://doi.org/10.2196/50136</w:t>
      </w:r>
    </w:p>
    <w:p w14:paraId="3DC4DCFA">
      <w:pPr>
        <w:spacing w:after="80" w:line="276" w:lineRule="auto"/>
        <w:ind w:left="432" w:hanging="432"/>
        <w:rPr>
          <w:rFonts w:hint="default" w:ascii="Times New Roman" w:hAnsi="Times New Roman" w:cs="Times New Roman"/>
          <w:sz w:val="18"/>
          <w:szCs w:val="18"/>
          <w:highlight w:val="none"/>
          <w:lang w:val="en-US" w:eastAsia="zh-CN"/>
        </w:rPr>
      </w:pPr>
      <w:r>
        <w:rPr>
          <w:rFonts w:hint="default" w:ascii="Times New Roman" w:hAnsi="Times New Roman" w:eastAsia="宋体" w:cs="Times New Roman"/>
          <w:sz w:val="18"/>
          <w:szCs w:val="18"/>
          <w:highlight w:val="none"/>
          <w:lang w:val="en-US" w:eastAsia="zh-CN"/>
        </w:rPr>
        <w:t>3</w:t>
      </w:r>
      <w:r>
        <w:rPr>
          <w:rFonts w:hint="eastAsia" w:eastAsia="宋体" w:cs="Times New Roman"/>
          <w:sz w:val="18"/>
          <w:szCs w:val="18"/>
          <w:highlight w:val="none"/>
          <w:lang w:val="en-US" w:eastAsia="zh-CN"/>
        </w:rPr>
        <w:t>8</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cs="Times New Roman"/>
          <w:sz w:val="18"/>
          <w:szCs w:val="18"/>
          <w:highlight w:val="none"/>
        </w:rPr>
        <w:t>Mak, K. K. et al. Psychometric properties of the revised Chen Internet Addiction Scale (CIAS-R) in Chinese adolescents.</w:t>
      </w:r>
      <w:r>
        <w:rPr>
          <w:rFonts w:hint="default" w:ascii="Times New Roman" w:hAnsi="Times New Roman" w:cs="Times New Roman"/>
          <w:i/>
          <w:iCs/>
          <w:sz w:val="18"/>
          <w:szCs w:val="18"/>
          <w:highlight w:val="none"/>
        </w:rPr>
        <w:t xml:space="preserve"> J. Abnorm. Child Psychol.</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42, </w:t>
      </w:r>
      <w:r>
        <w:rPr>
          <w:rFonts w:hint="default" w:ascii="Times New Roman" w:hAnsi="Times New Roman" w:cs="Times New Roman"/>
          <w:sz w:val="18"/>
          <w:szCs w:val="18"/>
          <w:highlight w:val="none"/>
        </w:rPr>
        <w:t>1237–1245 (2014). https://doi.org/10.1007/s10802-014-9851-3</w:t>
      </w:r>
    </w:p>
    <w:p w14:paraId="410C64A3">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3</w:t>
      </w:r>
      <w:r>
        <w:rPr>
          <w:rFonts w:hint="eastAsia" w:eastAsia="宋体" w:cs="Times New Roman"/>
          <w:sz w:val="18"/>
          <w:szCs w:val="18"/>
          <w:highlight w:val="none"/>
          <w:lang w:val="en-US" w:eastAsia="zh-CN"/>
        </w:rPr>
        <w:t>9</w:t>
      </w:r>
      <w:r>
        <w:rPr>
          <w:rFonts w:hint="default" w:ascii="Times New Roman" w:hAnsi="Times New Roman" w:cs="Times New Roman"/>
          <w:sz w:val="18"/>
          <w:szCs w:val="18"/>
          <w:highlight w:val="none"/>
        </w:rPr>
        <w:t xml:space="preserve">. Henry, J. D. &amp; Crawford, J. R. The short-form version of the Depression Anxiety Stress Scales (DASS-21): construct validity and normative data in a large non-clinical sample. </w:t>
      </w:r>
      <w:r>
        <w:rPr>
          <w:rFonts w:hint="default" w:ascii="Times New Roman" w:hAnsi="Times New Roman" w:cs="Times New Roman"/>
          <w:i/>
          <w:iCs/>
          <w:sz w:val="18"/>
          <w:szCs w:val="18"/>
          <w:highlight w:val="none"/>
        </w:rPr>
        <w:t xml:space="preserve">Br. J. Clin. Psychol. </w:t>
      </w:r>
      <w:r>
        <w:rPr>
          <w:rFonts w:hint="default" w:ascii="Times New Roman" w:hAnsi="Times New Roman" w:cs="Times New Roman"/>
          <w:b/>
          <w:bCs/>
          <w:sz w:val="18"/>
          <w:szCs w:val="18"/>
          <w:highlight w:val="none"/>
        </w:rPr>
        <w:t>44,</w:t>
      </w:r>
      <w:r>
        <w:rPr>
          <w:rFonts w:hint="default" w:ascii="Times New Roman" w:hAnsi="Times New Roman" w:cs="Times New Roman"/>
          <w:sz w:val="18"/>
          <w:szCs w:val="18"/>
          <w:highlight w:val="none"/>
        </w:rPr>
        <w:t xml:space="preserve"> 227–239 (2005). https://doi.org/10.1348/014466505X29657</w:t>
      </w:r>
    </w:p>
    <w:p w14:paraId="137D9D61">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40</w:t>
      </w:r>
      <w:r>
        <w:rPr>
          <w:rFonts w:hint="default" w:ascii="Times New Roman" w:hAnsi="Times New Roman" w:cs="Times New Roman"/>
          <w:sz w:val="18"/>
          <w:szCs w:val="18"/>
          <w:highlight w:val="none"/>
        </w:rPr>
        <w:t>. Goodman, R. The Strengths and Difficulties Questionnaire: a research note.</w:t>
      </w:r>
      <w:r>
        <w:rPr>
          <w:rFonts w:hint="default" w:ascii="Times New Roman" w:hAnsi="Times New Roman" w:cs="Times New Roman"/>
          <w:i/>
          <w:iCs/>
          <w:sz w:val="18"/>
          <w:szCs w:val="18"/>
          <w:highlight w:val="none"/>
        </w:rPr>
        <w:t xml:space="preserve"> J. Child Psychol. Psychiatry</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38,</w:t>
      </w:r>
      <w:r>
        <w:rPr>
          <w:rFonts w:hint="default" w:ascii="Times New Roman" w:hAnsi="Times New Roman" w:cs="Times New Roman"/>
          <w:sz w:val="18"/>
          <w:szCs w:val="18"/>
          <w:highlight w:val="none"/>
        </w:rPr>
        <w:t xml:space="preserve"> 581–586 (1997). https://doi.org/10.1111/j.1469-7610.1997.tb01545.x</w:t>
      </w:r>
    </w:p>
    <w:p w14:paraId="550B55BF">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4</w:t>
      </w:r>
      <w:r>
        <w:rPr>
          <w:rFonts w:hint="eastAsia" w:eastAsia="宋体" w:cs="Times New Roman"/>
          <w:sz w:val="18"/>
          <w:szCs w:val="18"/>
          <w:highlight w:val="none"/>
          <w:lang w:val="en-US" w:eastAsia="zh-CN"/>
        </w:rPr>
        <w:t>1</w:t>
      </w:r>
      <w:r>
        <w:rPr>
          <w:rFonts w:hint="default" w:ascii="Times New Roman" w:hAnsi="Times New Roman" w:cs="Times New Roman"/>
          <w:sz w:val="18"/>
          <w:szCs w:val="18"/>
          <w:highlight w:val="none"/>
        </w:rPr>
        <w:t xml:space="preserve">. Bastien, C. H., Vallières, A. &amp; Morin, C. M. Validation of the Insomnia Severity Index as an outcome measure for insomnia research. </w:t>
      </w:r>
      <w:r>
        <w:rPr>
          <w:rFonts w:hint="default" w:ascii="Times New Roman" w:hAnsi="Times New Roman" w:cs="Times New Roman"/>
          <w:i/>
          <w:iCs/>
          <w:sz w:val="18"/>
          <w:szCs w:val="18"/>
          <w:highlight w:val="none"/>
        </w:rPr>
        <w:t xml:space="preserve">Sleep Med. </w:t>
      </w:r>
      <w:r>
        <w:rPr>
          <w:rFonts w:hint="default" w:ascii="Times New Roman" w:hAnsi="Times New Roman" w:cs="Times New Roman"/>
          <w:b/>
          <w:bCs/>
          <w:sz w:val="18"/>
          <w:szCs w:val="18"/>
          <w:highlight w:val="none"/>
        </w:rPr>
        <w:t xml:space="preserve">2, </w:t>
      </w:r>
      <w:r>
        <w:rPr>
          <w:rFonts w:hint="default" w:ascii="Times New Roman" w:hAnsi="Times New Roman" w:cs="Times New Roman"/>
          <w:sz w:val="18"/>
          <w:szCs w:val="18"/>
          <w:highlight w:val="none"/>
        </w:rPr>
        <w:t xml:space="preserve">297–307 (2001). </w:t>
      </w:r>
      <w:r>
        <w:rPr>
          <w:rFonts w:hint="default" w:ascii="Times New Roman" w:hAnsi="Times New Roman" w:cs="Times New Roman"/>
          <w:sz w:val="18"/>
          <w:szCs w:val="18"/>
          <w:highlight w:val="none"/>
        </w:rPr>
        <w:fldChar w:fldCharType="begin"/>
      </w:r>
      <w:r>
        <w:rPr>
          <w:rFonts w:hint="default" w:ascii="Times New Roman" w:hAnsi="Times New Roman" w:cs="Times New Roman"/>
          <w:sz w:val="18"/>
          <w:szCs w:val="18"/>
          <w:highlight w:val="none"/>
        </w:rPr>
        <w:instrText xml:space="preserve"> HYPERLINK "https://doi.org/10.1016/S1389-9457(00)00065-4" </w:instrText>
      </w:r>
      <w:r>
        <w:rPr>
          <w:rFonts w:hint="default" w:ascii="Times New Roman" w:hAnsi="Times New Roman" w:cs="Times New Roman"/>
          <w:sz w:val="18"/>
          <w:szCs w:val="18"/>
          <w:highlight w:val="none"/>
        </w:rPr>
        <w:fldChar w:fldCharType="separate"/>
      </w:r>
      <w:r>
        <w:rPr>
          <w:rFonts w:hint="default" w:ascii="Times New Roman" w:hAnsi="Times New Roman" w:cs="Times New Roman"/>
          <w:sz w:val="18"/>
          <w:szCs w:val="18"/>
          <w:highlight w:val="none"/>
        </w:rPr>
        <w:t>https://doi.org/10.1016/S1389-9457(00)00065-4</w:t>
      </w:r>
      <w:r>
        <w:rPr>
          <w:rFonts w:hint="default" w:ascii="Times New Roman" w:hAnsi="Times New Roman" w:cs="Times New Roman"/>
          <w:sz w:val="18"/>
          <w:szCs w:val="18"/>
          <w:highlight w:val="none"/>
        </w:rPr>
        <w:fldChar w:fldCharType="end"/>
      </w:r>
    </w:p>
    <w:p w14:paraId="4C18D24A">
      <w:pPr>
        <w:spacing w:after="80" w:line="276" w:lineRule="auto"/>
        <w:ind w:left="432" w:hanging="432"/>
        <w:rPr>
          <w:rFonts w:hint="default" w:ascii="Times New Roman" w:hAnsi="Times New Roman" w:eastAsia="宋体" w:cs="Times New Roman"/>
          <w:sz w:val="18"/>
          <w:szCs w:val="18"/>
          <w:highlight w:val="none"/>
          <w:lang w:val="en-US" w:eastAsia="zh-CN"/>
        </w:rPr>
      </w:pPr>
      <w:r>
        <w:rPr>
          <w:rFonts w:hint="default" w:ascii="Times New Roman" w:hAnsi="Times New Roman" w:eastAsia="宋体" w:cs="Times New Roman"/>
          <w:sz w:val="18"/>
          <w:szCs w:val="18"/>
          <w:highlight w:val="none"/>
          <w:lang w:val="en-US" w:eastAsia="zh-CN"/>
        </w:rPr>
        <w:t>4</w:t>
      </w:r>
      <w:r>
        <w:rPr>
          <w:rFonts w:hint="eastAsia" w:eastAsia="宋体" w:cs="Times New Roman"/>
          <w:sz w:val="18"/>
          <w:szCs w:val="18"/>
          <w:highlight w:val="none"/>
          <w:lang w:val="en-US" w:eastAsia="zh-CN"/>
        </w:rPr>
        <w:t>2</w:t>
      </w:r>
      <w:r>
        <w:rPr>
          <w:rFonts w:hint="default" w:ascii="Times New Roman" w:hAnsi="Times New Roman" w:eastAsia="宋体" w:cs="Times New Roman"/>
          <w:sz w:val="18"/>
          <w:szCs w:val="18"/>
          <w:highlight w:val="none"/>
          <w:lang w:val="en-US" w:eastAsia="zh-CN"/>
        </w:rPr>
        <w:t>. Schulte, E. M. &amp; Gearhardt, A. N. Development of the Modified Yale Food Addiction Scale Version 2.0.</w:t>
      </w:r>
      <w:r>
        <w:rPr>
          <w:rFonts w:hint="default" w:ascii="Times New Roman" w:hAnsi="Times New Roman" w:eastAsia="宋体" w:cs="Times New Roman"/>
          <w:i/>
          <w:iCs/>
          <w:sz w:val="18"/>
          <w:szCs w:val="18"/>
          <w:highlight w:val="none"/>
          <w:lang w:val="en-US" w:eastAsia="zh-CN"/>
        </w:rPr>
        <w:t xml:space="preserve"> Eur. Eat. Disord. Rev.</w:t>
      </w:r>
      <w:r>
        <w:rPr>
          <w:rFonts w:hint="default" w:ascii="Times New Roman" w:hAnsi="Times New Roman" w:eastAsia="宋体" w:cs="Times New Roman"/>
          <w:b/>
          <w:bCs/>
          <w:sz w:val="18"/>
          <w:szCs w:val="18"/>
          <w:highlight w:val="none"/>
          <w:lang w:val="en-US" w:eastAsia="zh-CN"/>
        </w:rPr>
        <w:t xml:space="preserve"> 25,</w:t>
      </w:r>
      <w:r>
        <w:rPr>
          <w:rFonts w:hint="default" w:ascii="Times New Roman" w:hAnsi="Times New Roman" w:eastAsia="宋体" w:cs="Times New Roman"/>
          <w:sz w:val="18"/>
          <w:szCs w:val="18"/>
          <w:highlight w:val="none"/>
          <w:lang w:val="en-US" w:eastAsia="zh-CN"/>
        </w:rPr>
        <w:t xml:space="preserve"> 302–308 (2017). https://doi.org/10.1002/erv.2515</w:t>
      </w:r>
    </w:p>
    <w:p w14:paraId="62BFF992">
      <w:pPr>
        <w:spacing w:after="80" w:line="276" w:lineRule="auto"/>
        <w:ind w:left="432" w:hanging="432"/>
        <w:rPr>
          <w:rFonts w:hint="default" w:ascii="Times New Roman" w:hAnsi="Times New Roman" w:eastAsia="宋体" w:cs="Times New Roman"/>
          <w:sz w:val="18"/>
          <w:szCs w:val="18"/>
          <w:highlight w:val="none"/>
          <w:lang w:val="en-US" w:eastAsia="zh-CN"/>
        </w:rPr>
      </w:pPr>
      <w:r>
        <w:rPr>
          <w:rFonts w:hint="default" w:ascii="Times New Roman" w:hAnsi="Times New Roman" w:eastAsia="宋体" w:cs="Times New Roman"/>
          <w:sz w:val="18"/>
          <w:szCs w:val="18"/>
          <w:highlight w:val="none"/>
          <w:lang w:val="en-US" w:eastAsia="zh-CN"/>
        </w:rPr>
        <w:t>4</w:t>
      </w:r>
      <w:r>
        <w:rPr>
          <w:rFonts w:hint="eastAsia" w:eastAsia="宋体" w:cs="Times New Roman"/>
          <w:sz w:val="18"/>
          <w:szCs w:val="18"/>
          <w:highlight w:val="none"/>
          <w:lang w:val="en-US" w:eastAsia="zh-CN"/>
        </w:rPr>
        <w:t>3</w:t>
      </w:r>
      <w:r>
        <w:rPr>
          <w:rFonts w:hint="default" w:ascii="Times New Roman" w:hAnsi="Times New Roman" w:eastAsia="宋体" w:cs="Times New Roman"/>
          <w:sz w:val="18"/>
          <w:szCs w:val="18"/>
          <w:highlight w:val="none"/>
          <w:lang w:val="en-US" w:eastAsia="zh-CN"/>
        </w:rPr>
        <w:t>. Zhang, H. et al. Translation of the Chinese version of the modified Yale Food Addiction Scale 2.0 and its validation among college students.</w:t>
      </w:r>
      <w:r>
        <w:rPr>
          <w:rFonts w:hint="default" w:ascii="Times New Roman" w:hAnsi="Times New Roman" w:eastAsia="宋体" w:cs="Times New Roman"/>
          <w:i/>
          <w:iCs/>
          <w:sz w:val="18"/>
          <w:szCs w:val="18"/>
          <w:highlight w:val="none"/>
          <w:lang w:val="en-US" w:eastAsia="zh-CN"/>
        </w:rPr>
        <w:t xml:space="preserve"> J. Eat. Disord.</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eastAsia="宋体" w:cs="Times New Roman"/>
          <w:b/>
          <w:bCs/>
          <w:sz w:val="18"/>
          <w:szCs w:val="18"/>
          <w:highlight w:val="none"/>
          <w:lang w:val="en-US" w:eastAsia="zh-CN"/>
        </w:rPr>
        <w:t xml:space="preserve">9, </w:t>
      </w:r>
      <w:r>
        <w:rPr>
          <w:rFonts w:hint="default" w:ascii="Times New Roman" w:hAnsi="Times New Roman" w:eastAsia="宋体" w:cs="Times New Roman"/>
          <w:sz w:val="18"/>
          <w:szCs w:val="18"/>
          <w:highlight w:val="none"/>
          <w:lang w:val="en-US" w:eastAsia="zh-CN"/>
        </w:rPr>
        <w:t xml:space="preserve">116 (2021). </w:t>
      </w:r>
      <w:r>
        <w:rPr>
          <w:rFonts w:hint="default" w:ascii="Times New Roman" w:hAnsi="Times New Roman" w:cs="Times New Roman"/>
          <w:sz w:val="18"/>
          <w:szCs w:val="18"/>
          <w:highlight w:val="none"/>
          <w:lang w:val="en-US" w:eastAsia="zh-CN"/>
        </w:rPr>
        <w:fldChar w:fldCharType="begin"/>
      </w:r>
      <w:r>
        <w:rPr>
          <w:rFonts w:hint="default" w:ascii="Times New Roman" w:hAnsi="Times New Roman" w:cs="Times New Roman"/>
          <w:sz w:val="18"/>
          <w:szCs w:val="18"/>
          <w:highlight w:val="none"/>
          <w:lang w:val="en-US" w:eastAsia="zh-CN"/>
        </w:rPr>
        <w:instrText xml:space="preserve"> HYPERLINK "https://doi.org/10.1186/s40337-021-00471-z" </w:instrText>
      </w:r>
      <w:r>
        <w:rPr>
          <w:rFonts w:hint="default" w:ascii="Times New Roman" w:hAnsi="Times New Roman" w:cs="Times New Roman"/>
          <w:sz w:val="18"/>
          <w:szCs w:val="18"/>
          <w:highlight w:val="none"/>
          <w:lang w:val="en-US" w:eastAsia="zh-CN"/>
        </w:rPr>
        <w:fldChar w:fldCharType="separate"/>
      </w:r>
      <w:r>
        <w:rPr>
          <w:rFonts w:hint="default" w:ascii="Times New Roman" w:hAnsi="Times New Roman" w:cs="Times New Roman"/>
          <w:sz w:val="18"/>
          <w:szCs w:val="18"/>
          <w:highlight w:val="none"/>
          <w:lang w:val="en-US" w:eastAsia="zh-CN"/>
        </w:rPr>
        <w:t>https://doi.org/10.1186/s40337-021-00471-z</w:t>
      </w:r>
      <w:r>
        <w:rPr>
          <w:rFonts w:hint="default" w:ascii="Times New Roman" w:hAnsi="Times New Roman" w:cs="Times New Roman"/>
          <w:sz w:val="18"/>
          <w:szCs w:val="18"/>
          <w:highlight w:val="none"/>
          <w:lang w:val="en-US" w:eastAsia="zh-CN"/>
        </w:rPr>
        <w:fldChar w:fldCharType="end"/>
      </w:r>
    </w:p>
    <w:p w14:paraId="0AB14155">
      <w:pPr>
        <w:spacing w:after="80" w:line="276" w:lineRule="auto"/>
        <w:ind w:left="432" w:hanging="432"/>
        <w:rPr>
          <w:rFonts w:hint="default" w:ascii="Times New Roman" w:hAnsi="Times New Roman" w:eastAsia="宋体" w:cs="Times New Roman"/>
          <w:sz w:val="18"/>
          <w:szCs w:val="18"/>
          <w:highlight w:val="none"/>
          <w:lang w:val="en-US" w:eastAsia="zh-CN"/>
        </w:rPr>
      </w:pPr>
      <w:r>
        <w:rPr>
          <w:rFonts w:hint="default" w:ascii="Times New Roman" w:hAnsi="Times New Roman" w:eastAsia="宋体" w:cs="Times New Roman"/>
          <w:sz w:val="18"/>
          <w:szCs w:val="18"/>
          <w:highlight w:val="none"/>
          <w:lang w:val="en-US" w:eastAsia="zh-CN"/>
        </w:rPr>
        <w:t>4</w:t>
      </w:r>
      <w:r>
        <w:rPr>
          <w:rFonts w:hint="eastAsia" w:eastAsia="宋体" w:cs="Times New Roman"/>
          <w:sz w:val="18"/>
          <w:szCs w:val="18"/>
          <w:highlight w:val="none"/>
          <w:lang w:val="en-US" w:eastAsia="zh-CN"/>
        </w:rPr>
        <w:t>4</w:t>
      </w:r>
      <w:r>
        <w:rPr>
          <w:rFonts w:hint="default" w:ascii="Times New Roman" w:hAnsi="Times New Roman" w:eastAsia="宋体" w:cs="Times New Roman"/>
          <w:sz w:val="18"/>
          <w:szCs w:val="18"/>
          <w:highlight w:val="none"/>
          <w:lang w:val="en-US" w:eastAsia="zh-CN"/>
        </w:rPr>
        <w:t>. Craig, C. L. et al. International physical activity questionnaire: 12-country reliability and validity.</w:t>
      </w:r>
      <w:r>
        <w:rPr>
          <w:rFonts w:hint="default" w:ascii="Times New Roman" w:hAnsi="Times New Roman" w:eastAsia="宋体" w:cs="Times New Roman"/>
          <w:i/>
          <w:iCs/>
          <w:sz w:val="18"/>
          <w:szCs w:val="18"/>
          <w:highlight w:val="none"/>
          <w:lang w:val="en-US" w:eastAsia="zh-CN"/>
        </w:rPr>
        <w:t xml:space="preserve"> Med. Sci. Sports Exerc.</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eastAsia="宋体" w:cs="Times New Roman"/>
          <w:b/>
          <w:bCs/>
          <w:sz w:val="18"/>
          <w:szCs w:val="18"/>
          <w:highlight w:val="none"/>
          <w:lang w:val="en-US" w:eastAsia="zh-CN"/>
        </w:rPr>
        <w:t>35,</w:t>
      </w:r>
      <w:r>
        <w:rPr>
          <w:rFonts w:hint="default" w:ascii="Times New Roman" w:hAnsi="Times New Roman" w:eastAsia="宋体" w:cs="Times New Roman"/>
          <w:sz w:val="18"/>
          <w:szCs w:val="18"/>
          <w:highlight w:val="none"/>
          <w:lang w:val="en-US" w:eastAsia="zh-CN"/>
        </w:rPr>
        <w:t xml:space="preserve"> 1381–1395 (2003). https://doi.org/10.1249/01.MSS.0000078924.61453.FB</w:t>
      </w:r>
    </w:p>
    <w:p w14:paraId="4FC82974">
      <w:pPr>
        <w:spacing w:after="80" w:line="276" w:lineRule="auto"/>
        <w:ind w:left="432" w:hanging="432"/>
        <w:rPr>
          <w:rFonts w:hint="default" w:ascii="Times New Roman" w:hAnsi="Times New Roman" w:eastAsia="宋体" w:cs="Times New Roman"/>
          <w:sz w:val="18"/>
          <w:szCs w:val="18"/>
          <w:highlight w:val="none"/>
          <w:lang w:val="en-US" w:eastAsia="zh-CN"/>
        </w:rPr>
      </w:pPr>
      <w:r>
        <w:rPr>
          <w:rFonts w:hint="default" w:ascii="Times New Roman" w:hAnsi="Times New Roman" w:eastAsia="宋体" w:cs="Times New Roman"/>
          <w:sz w:val="18"/>
          <w:szCs w:val="18"/>
          <w:highlight w:val="none"/>
          <w:lang w:val="en-US" w:eastAsia="zh-CN"/>
        </w:rPr>
        <w:t>4</w:t>
      </w:r>
      <w:r>
        <w:rPr>
          <w:rFonts w:hint="eastAsia" w:eastAsia="宋体" w:cs="Times New Roman"/>
          <w:sz w:val="18"/>
          <w:szCs w:val="18"/>
          <w:highlight w:val="none"/>
          <w:lang w:val="en-US" w:eastAsia="zh-CN"/>
        </w:rPr>
        <w:t>5.</w:t>
      </w:r>
      <w:r>
        <w:rPr>
          <w:rFonts w:hint="default" w:ascii="Times New Roman" w:hAnsi="Times New Roman" w:eastAsia="宋体" w:cs="Times New Roman"/>
          <w:sz w:val="18"/>
          <w:szCs w:val="18"/>
          <w:highlight w:val="none"/>
          <w:lang w:val="en-US" w:eastAsia="zh-CN"/>
        </w:rPr>
        <w:t xml:space="preserve"> Wang, C., Chen, P. &amp; Zhuang, J. Validity and reliability of International Physical Activity Questionnaire–Short Form in Chinese youth. </w:t>
      </w:r>
      <w:r>
        <w:rPr>
          <w:rFonts w:hint="default" w:ascii="Times New Roman" w:hAnsi="Times New Roman" w:eastAsia="宋体" w:cs="Times New Roman"/>
          <w:i/>
          <w:iCs/>
          <w:sz w:val="18"/>
          <w:szCs w:val="18"/>
          <w:highlight w:val="none"/>
          <w:lang w:val="en-US" w:eastAsia="zh-CN"/>
        </w:rPr>
        <w:t>Res. Q. Exerc. Sport</w:t>
      </w:r>
      <w:r>
        <w:rPr>
          <w:rFonts w:hint="default" w:ascii="Times New Roman" w:hAnsi="Times New Roman" w:eastAsia="宋体" w:cs="Times New Roman"/>
          <w:sz w:val="18"/>
          <w:szCs w:val="18"/>
          <w:highlight w:val="none"/>
          <w:lang w:val="en-US" w:eastAsia="zh-CN"/>
        </w:rPr>
        <w:t xml:space="preserve"> </w:t>
      </w:r>
      <w:r>
        <w:rPr>
          <w:rFonts w:hint="default" w:ascii="Times New Roman" w:hAnsi="Times New Roman" w:eastAsia="宋体" w:cs="Times New Roman"/>
          <w:b/>
          <w:bCs/>
          <w:sz w:val="18"/>
          <w:szCs w:val="18"/>
          <w:highlight w:val="none"/>
          <w:lang w:val="en-US" w:eastAsia="zh-CN"/>
        </w:rPr>
        <w:t xml:space="preserve">84, </w:t>
      </w:r>
      <w:r>
        <w:rPr>
          <w:rFonts w:hint="default" w:ascii="Times New Roman" w:hAnsi="Times New Roman" w:eastAsia="宋体" w:cs="Times New Roman"/>
          <w:sz w:val="18"/>
          <w:szCs w:val="18"/>
          <w:highlight w:val="none"/>
          <w:lang w:val="en-US" w:eastAsia="zh-CN"/>
        </w:rPr>
        <w:t xml:space="preserve">S80–S86 (2013). </w:t>
      </w:r>
      <w:r>
        <w:rPr>
          <w:rFonts w:hint="default" w:ascii="Times New Roman" w:hAnsi="Times New Roman" w:eastAsia="宋体" w:cs="Times New Roman"/>
          <w:sz w:val="18"/>
          <w:szCs w:val="18"/>
          <w:highlight w:val="none"/>
          <w:lang w:val="en-US" w:eastAsia="zh-CN"/>
        </w:rPr>
        <w:fldChar w:fldCharType="begin"/>
      </w:r>
      <w:r>
        <w:rPr>
          <w:rFonts w:hint="default" w:ascii="Times New Roman" w:hAnsi="Times New Roman" w:eastAsia="宋体" w:cs="Times New Roman"/>
          <w:sz w:val="18"/>
          <w:szCs w:val="18"/>
          <w:highlight w:val="none"/>
          <w:lang w:val="en-US" w:eastAsia="zh-CN"/>
        </w:rPr>
        <w:instrText xml:space="preserve"> HYPERLINK "https://doi.org/10.1080/02701367.2013.850991" </w:instrText>
      </w:r>
      <w:r>
        <w:rPr>
          <w:rFonts w:hint="default" w:ascii="Times New Roman" w:hAnsi="Times New Roman" w:eastAsia="宋体" w:cs="Times New Roman"/>
          <w:sz w:val="18"/>
          <w:szCs w:val="18"/>
          <w:highlight w:val="none"/>
          <w:lang w:val="en-US" w:eastAsia="zh-CN"/>
        </w:rPr>
        <w:fldChar w:fldCharType="separate"/>
      </w:r>
      <w:r>
        <w:rPr>
          <w:rFonts w:hint="default" w:ascii="Times New Roman" w:hAnsi="Times New Roman" w:eastAsia="宋体" w:cs="Times New Roman"/>
          <w:sz w:val="18"/>
          <w:szCs w:val="18"/>
          <w:highlight w:val="none"/>
          <w:lang w:val="en-US" w:eastAsia="zh-CN"/>
        </w:rPr>
        <w:t>https://doi.org/10.1080/02701367.2013.850991</w:t>
      </w:r>
      <w:r>
        <w:rPr>
          <w:rFonts w:hint="default" w:ascii="Times New Roman" w:hAnsi="Times New Roman" w:eastAsia="宋体" w:cs="Times New Roman"/>
          <w:sz w:val="18"/>
          <w:szCs w:val="18"/>
          <w:highlight w:val="none"/>
          <w:lang w:val="en-US" w:eastAsia="zh-CN"/>
        </w:rPr>
        <w:fldChar w:fldCharType="end"/>
      </w:r>
    </w:p>
    <w:p w14:paraId="675CB5B4">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4</w:t>
      </w:r>
      <w:r>
        <w:rPr>
          <w:rFonts w:hint="eastAsia" w:eastAsia="宋体" w:cs="Times New Roman"/>
          <w:sz w:val="18"/>
          <w:szCs w:val="18"/>
          <w:highlight w:val="none"/>
          <w:lang w:val="en-US" w:eastAsia="zh-CN"/>
        </w:rPr>
        <w:t>6</w:t>
      </w:r>
      <w:r>
        <w:rPr>
          <w:rFonts w:hint="default" w:ascii="Times New Roman" w:hAnsi="Times New Roman" w:cs="Times New Roman"/>
          <w:sz w:val="18"/>
          <w:szCs w:val="18"/>
          <w:highlight w:val="none"/>
        </w:rPr>
        <w:t xml:space="preserve">. University of London, Institute of Education, Centre for Longitudinal Studies. Millennium Cohort Study: </w:t>
      </w:r>
      <w:r>
        <w:rPr>
          <w:rFonts w:hint="default" w:ascii="Times New Roman" w:hAnsi="Times New Roman" w:cs="Times New Roman"/>
          <w:i/>
          <w:iCs/>
          <w:sz w:val="18"/>
          <w:szCs w:val="18"/>
          <w:highlight w:val="none"/>
        </w:rPr>
        <w:t>Age 14, Sweep 6, 2015</w:t>
      </w:r>
      <w:r>
        <w:rPr>
          <w:rFonts w:hint="eastAsia" w:eastAsia="宋体" w:cs="Times New Roman"/>
          <w:i w:val="0"/>
          <w:iCs w:val="0"/>
          <w:sz w:val="18"/>
          <w:szCs w:val="18"/>
          <w:highlight w:val="none"/>
          <w:lang w:val="en-US" w:eastAsia="zh-CN"/>
        </w:rPr>
        <w:t xml:space="preserve"> </w:t>
      </w:r>
      <w:r>
        <w:rPr>
          <w:rFonts w:hint="default" w:ascii="Times New Roman" w:hAnsi="Times New Roman" w:cs="Times New Roman"/>
          <w:i w:val="0"/>
          <w:iCs w:val="0"/>
          <w:sz w:val="18"/>
          <w:szCs w:val="18"/>
          <w:highlight w:val="none"/>
        </w:rPr>
        <w:t>[data collection]</w:t>
      </w:r>
      <w:r>
        <w:rPr>
          <w:rFonts w:hint="default" w:ascii="Times New Roman" w:hAnsi="Times New Roman" w:cs="Times New Roman"/>
          <w:i/>
          <w:iCs/>
          <w:sz w:val="18"/>
          <w:szCs w:val="18"/>
          <w:highlight w:val="none"/>
        </w:rPr>
        <w:t>.</w:t>
      </w:r>
      <w:r>
        <w:rPr>
          <w:rFonts w:hint="default" w:ascii="Times New Roman" w:hAnsi="Times New Roman" w:cs="Times New Roman"/>
          <w:sz w:val="18"/>
          <w:szCs w:val="18"/>
          <w:highlight w:val="none"/>
        </w:rPr>
        <w:t xml:space="preserve"> 8th edn, UK Data Service, SN 8156 (2025). https://doi.org/10.5255/UKDA-SN-8156-8</w:t>
      </w:r>
    </w:p>
    <w:p w14:paraId="75D96DD2">
      <w:pPr>
        <w:spacing w:after="80" w:line="276" w:lineRule="auto"/>
        <w:ind w:left="432" w:hanging="432"/>
        <w:rPr>
          <w:rFonts w:hint="default" w:ascii="Times New Roman" w:hAnsi="Times New Roman" w:cs="Times New Roman"/>
          <w:sz w:val="18"/>
          <w:szCs w:val="18"/>
          <w:highlight w:val="none"/>
        </w:rPr>
      </w:pPr>
      <w:r>
        <w:rPr>
          <w:rFonts w:hint="default" w:ascii="Times New Roman" w:hAnsi="Times New Roman" w:eastAsia="宋体" w:cs="Times New Roman"/>
          <w:sz w:val="18"/>
          <w:szCs w:val="18"/>
          <w:highlight w:val="none"/>
          <w:lang w:val="en-US" w:eastAsia="zh-CN"/>
        </w:rPr>
        <w:t>4</w:t>
      </w:r>
      <w:r>
        <w:rPr>
          <w:rFonts w:hint="eastAsia" w:eastAsia="宋体" w:cs="Times New Roman"/>
          <w:sz w:val="18"/>
          <w:szCs w:val="18"/>
          <w:highlight w:val="none"/>
          <w:lang w:val="en-US" w:eastAsia="zh-CN"/>
        </w:rPr>
        <w:t>7</w:t>
      </w:r>
      <w:r>
        <w:rPr>
          <w:rFonts w:hint="default" w:ascii="Times New Roman" w:hAnsi="Times New Roman" w:cs="Times New Roman"/>
          <w:sz w:val="18"/>
          <w:szCs w:val="18"/>
          <w:highlight w:val="none"/>
        </w:rPr>
        <w:t xml:space="preserve">. University of London, Institute of Education, Centre for Longitudinal Studies. Millennium Cohort Study: </w:t>
      </w:r>
      <w:r>
        <w:rPr>
          <w:rFonts w:hint="default" w:ascii="Times New Roman" w:hAnsi="Times New Roman" w:cs="Times New Roman"/>
          <w:i/>
          <w:iCs/>
          <w:sz w:val="18"/>
          <w:szCs w:val="18"/>
          <w:highlight w:val="none"/>
        </w:rPr>
        <w:t>Age 17, Sweep 7, 2018</w:t>
      </w:r>
      <w:r>
        <w:rPr>
          <w:rFonts w:hint="eastAsia" w:eastAsia="宋体" w:cs="Times New Roman"/>
          <w:i/>
          <w:iCs/>
          <w:sz w:val="18"/>
          <w:szCs w:val="18"/>
          <w:highlight w:val="none"/>
          <w:lang w:val="en-US" w:eastAsia="zh-CN"/>
        </w:rPr>
        <w:t xml:space="preserve"> </w:t>
      </w:r>
      <w:r>
        <w:rPr>
          <w:rFonts w:hint="default" w:ascii="Times New Roman" w:hAnsi="Times New Roman" w:cs="Times New Roman"/>
          <w:i w:val="0"/>
          <w:iCs w:val="0"/>
          <w:sz w:val="18"/>
          <w:szCs w:val="18"/>
          <w:highlight w:val="none"/>
        </w:rPr>
        <w:t>[data collection]</w:t>
      </w:r>
      <w:r>
        <w:rPr>
          <w:rFonts w:hint="default" w:ascii="Times New Roman" w:hAnsi="Times New Roman" w:cs="Times New Roman"/>
          <w:i/>
          <w:iCs/>
          <w:sz w:val="18"/>
          <w:szCs w:val="18"/>
          <w:highlight w:val="none"/>
        </w:rPr>
        <w:t>.</w:t>
      </w:r>
      <w:r>
        <w:rPr>
          <w:rFonts w:hint="default" w:ascii="Times New Roman" w:hAnsi="Times New Roman" w:cs="Times New Roman"/>
          <w:sz w:val="18"/>
          <w:szCs w:val="18"/>
          <w:highlight w:val="none"/>
        </w:rPr>
        <w:t xml:space="preserve"> 2nd edn, UK Data Service, SN 8682 (2024). </w:t>
      </w:r>
      <w:r>
        <w:rPr>
          <w:rFonts w:hint="default" w:ascii="Times New Roman" w:hAnsi="Times New Roman" w:cs="Times New Roman"/>
          <w:sz w:val="18"/>
          <w:szCs w:val="18"/>
          <w:highlight w:val="none"/>
        </w:rPr>
        <w:fldChar w:fldCharType="begin"/>
      </w:r>
      <w:r>
        <w:rPr>
          <w:rFonts w:hint="default" w:ascii="Times New Roman" w:hAnsi="Times New Roman" w:cs="Times New Roman"/>
          <w:sz w:val="18"/>
          <w:szCs w:val="18"/>
          <w:highlight w:val="none"/>
        </w:rPr>
        <w:instrText xml:space="preserve"> HYPERLINK "https://doi.org/10.5255/UKDA-SN-8682-2" </w:instrText>
      </w:r>
      <w:r>
        <w:rPr>
          <w:rFonts w:hint="default" w:ascii="Times New Roman" w:hAnsi="Times New Roman" w:cs="Times New Roman"/>
          <w:sz w:val="18"/>
          <w:szCs w:val="18"/>
          <w:highlight w:val="none"/>
        </w:rPr>
        <w:fldChar w:fldCharType="separate"/>
      </w:r>
      <w:r>
        <w:rPr>
          <w:rFonts w:hint="default" w:ascii="Times New Roman" w:hAnsi="Times New Roman" w:cs="Times New Roman"/>
          <w:sz w:val="18"/>
          <w:szCs w:val="18"/>
          <w:highlight w:val="none"/>
        </w:rPr>
        <w:t>https://doi.org/10.5255/UKDA-SN-8682-2</w:t>
      </w:r>
      <w:r>
        <w:rPr>
          <w:rFonts w:hint="default" w:ascii="Times New Roman" w:hAnsi="Times New Roman" w:cs="Times New Roman"/>
          <w:sz w:val="18"/>
          <w:szCs w:val="18"/>
          <w:highlight w:val="none"/>
        </w:rPr>
        <w:fldChar w:fldCharType="end"/>
      </w:r>
    </w:p>
    <w:p w14:paraId="2EE5737A">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48</w:t>
      </w:r>
      <w:r>
        <w:rPr>
          <w:rFonts w:hint="default" w:ascii="Times New Roman" w:hAnsi="Times New Roman" w:cs="Times New Roman"/>
          <w:sz w:val="18"/>
          <w:szCs w:val="18"/>
          <w:highlight w:val="none"/>
        </w:rPr>
        <w:t>. Turner, N., Joinson, C., Peters, T. J., Wiles, N. &amp; Lewis, G. Validity of the Short Mood and Feelings Questionnaire in late adolescence.</w:t>
      </w:r>
      <w:r>
        <w:rPr>
          <w:rFonts w:hint="default" w:ascii="Times New Roman" w:hAnsi="Times New Roman" w:cs="Times New Roman"/>
          <w:i/>
          <w:iCs/>
          <w:sz w:val="18"/>
          <w:szCs w:val="18"/>
          <w:highlight w:val="none"/>
        </w:rPr>
        <w:t xml:space="preserve"> Psychol. Assess.</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26, </w:t>
      </w:r>
      <w:r>
        <w:rPr>
          <w:rFonts w:hint="default" w:ascii="Times New Roman" w:hAnsi="Times New Roman" w:cs="Times New Roman"/>
          <w:sz w:val="18"/>
          <w:szCs w:val="18"/>
          <w:highlight w:val="none"/>
        </w:rPr>
        <w:t>752–762 (2014). https://doi.org/10.1037/a0036572</w:t>
      </w:r>
    </w:p>
    <w:p w14:paraId="338BE929">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49</w:t>
      </w:r>
      <w:r>
        <w:rPr>
          <w:rFonts w:hint="default" w:ascii="Times New Roman" w:hAnsi="Times New Roman" w:cs="Times New Roman"/>
          <w:sz w:val="18"/>
          <w:szCs w:val="18"/>
          <w:highlight w:val="none"/>
        </w:rPr>
        <w:t xml:space="preserve">. Kessler, R. C. et al. Short screening scales to monitor population prevalences and trends in non-specific psychological distress. </w:t>
      </w:r>
      <w:r>
        <w:rPr>
          <w:rFonts w:hint="default" w:ascii="Times New Roman" w:hAnsi="Times New Roman" w:cs="Times New Roman"/>
          <w:i/>
          <w:iCs/>
          <w:sz w:val="18"/>
          <w:szCs w:val="18"/>
          <w:highlight w:val="none"/>
        </w:rPr>
        <w:t>Psychol. Med.</w:t>
      </w:r>
      <w:r>
        <w:rPr>
          <w:rFonts w:hint="default" w:ascii="Times New Roman" w:hAnsi="Times New Roman" w:cs="Times New Roman"/>
          <w:sz w:val="18"/>
          <w:szCs w:val="18"/>
          <w:highlight w:val="none"/>
        </w:rPr>
        <w:t xml:space="preserve"> </w:t>
      </w:r>
      <w:r>
        <w:rPr>
          <w:rFonts w:hint="default" w:ascii="Times New Roman" w:hAnsi="Times New Roman" w:cs="Times New Roman"/>
          <w:b/>
          <w:bCs/>
          <w:sz w:val="18"/>
          <w:szCs w:val="18"/>
          <w:highlight w:val="none"/>
        </w:rPr>
        <w:t xml:space="preserve">32, </w:t>
      </w:r>
      <w:r>
        <w:rPr>
          <w:rFonts w:hint="default" w:ascii="Times New Roman" w:hAnsi="Times New Roman" w:cs="Times New Roman"/>
          <w:sz w:val="18"/>
          <w:szCs w:val="18"/>
          <w:highlight w:val="none"/>
        </w:rPr>
        <w:t xml:space="preserve">959–976 (2002). </w:t>
      </w:r>
      <w:r>
        <w:rPr>
          <w:rFonts w:hint="default" w:ascii="Times New Roman" w:hAnsi="Times New Roman" w:cs="Times New Roman"/>
          <w:sz w:val="18"/>
          <w:szCs w:val="18"/>
          <w:highlight w:val="none"/>
        </w:rPr>
        <w:fldChar w:fldCharType="begin"/>
      </w:r>
      <w:r>
        <w:rPr>
          <w:rFonts w:hint="default" w:ascii="Times New Roman" w:hAnsi="Times New Roman" w:cs="Times New Roman"/>
          <w:sz w:val="18"/>
          <w:szCs w:val="18"/>
          <w:highlight w:val="none"/>
        </w:rPr>
        <w:instrText xml:space="preserve"> HYPERLINK "https://doi.org/10.1017/S0033291702006074" </w:instrText>
      </w:r>
      <w:r>
        <w:rPr>
          <w:rFonts w:hint="default" w:ascii="Times New Roman" w:hAnsi="Times New Roman" w:cs="Times New Roman"/>
          <w:sz w:val="18"/>
          <w:szCs w:val="18"/>
          <w:highlight w:val="none"/>
        </w:rPr>
        <w:fldChar w:fldCharType="separate"/>
      </w:r>
      <w:r>
        <w:rPr>
          <w:rFonts w:hint="default" w:ascii="Times New Roman" w:hAnsi="Times New Roman" w:cs="Times New Roman"/>
          <w:sz w:val="18"/>
          <w:szCs w:val="18"/>
          <w:highlight w:val="none"/>
        </w:rPr>
        <w:t>https://doi.org/10.1017/S0033291702006074</w:t>
      </w:r>
      <w:r>
        <w:rPr>
          <w:rFonts w:hint="default" w:ascii="Times New Roman" w:hAnsi="Times New Roman" w:cs="Times New Roman"/>
          <w:sz w:val="18"/>
          <w:szCs w:val="18"/>
          <w:highlight w:val="none"/>
        </w:rPr>
        <w:fldChar w:fldCharType="end"/>
      </w:r>
    </w:p>
    <w:p w14:paraId="53A70B81">
      <w:pPr>
        <w:spacing w:after="80" w:line="276" w:lineRule="auto"/>
        <w:ind w:left="432" w:hanging="432"/>
        <w:rPr>
          <w:rFonts w:hint="default" w:ascii="Times New Roman" w:hAnsi="Times New Roman" w:cs="Times New Roman"/>
          <w:sz w:val="18"/>
          <w:szCs w:val="18"/>
          <w:highlight w:val="none"/>
        </w:rPr>
      </w:pPr>
      <w:r>
        <w:rPr>
          <w:rFonts w:hint="eastAsia" w:eastAsia="宋体" w:cs="Times New Roman"/>
          <w:sz w:val="18"/>
          <w:szCs w:val="18"/>
          <w:highlight w:val="none"/>
          <w:lang w:val="en-US" w:eastAsia="zh-CN"/>
        </w:rPr>
        <w:t>50</w:t>
      </w:r>
      <w:r>
        <w:rPr>
          <w:rFonts w:hint="default" w:ascii="Times New Roman" w:hAnsi="Times New Roman" w:cs="Times New Roman"/>
          <w:sz w:val="18"/>
          <w:szCs w:val="18"/>
          <w:highlight w:val="none"/>
        </w:rPr>
        <w:t xml:space="preserve">. van Borkulo, C. D. et al. Comparing network structures on three aspects: a permutation test. </w:t>
      </w:r>
      <w:r>
        <w:rPr>
          <w:rFonts w:hint="default" w:ascii="Times New Roman" w:hAnsi="Times New Roman" w:cs="Times New Roman"/>
          <w:i/>
          <w:iCs/>
          <w:sz w:val="18"/>
          <w:szCs w:val="18"/>
          <w:highlight w:val="none"/>
        </w:rPr>
        <w:t>Psychol. Methods</w:t>
      </w:r>
      <w:r>
        <w:rPr>
          <w:rFonts w:hint="default" w:ascii="Times New Roman" w:hAnsi="Times New Roman" w:cs="Times New Roman"/>
          <w:b/>
          <w:bCs/>
          <w:sz w:val="18"/>
          <w:szCs w:val="18"/>
          <w:highlight w:val="none"/>
        </w:rPr>
        <w:t xml:space="preserve"> 28,</w:t>
      </w:r>
      <w:r>
        <w:rPr>
          <w:rFonts w:hint="default" w:ascii="Times New Roman" w:hAnsi="Times New Roman" w:cs="Times New Roman"/>
          <w:sz w:val="18"/>
          <w:szCs w:val="18"/>
          <w:highlight w:val="none"/>
        </w:rPr>
        <w:t xml:space="preserve"> 1273–1285 (2023). https://doi.org/10.1037/met0000476</w:t>
      </w:r>
    </w:p>
    <w:sectPr>
      <w:headerReference r:id="rId5" w:type="default"/>
      <w:footerReference r:id="rId6" w:type="default"/>
      <w:pgSz w:w="12240" w:h="15840"/>
      <w:pgMar w:top="1247" w:right="1417" w:bottom="1247" w:left="1417" w:header="567" w:footer="567" w:gutter="0"/>
      <w:lnNumType w:countBy="1" w:start="1" w:distance="360" w:restart="continuou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06A54C">
    <w:pPr>
      <w:pStyle w:val="24"/>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B0A8F7">
    <w:pPr>
      <w:pStyle w:val="25"/>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0BE2B5E0"/>
    <w:multiLevelType w:val="singleLevel"/>
    <w:tmpl w:val="0BE2B5E0"/>
    <w:lvl w:ilvl="0" w:tentative="0">
      <w:start w:val="1"/>
      <w:numFmt w:val="decimal"/>
      <w:suff w:val="space"/>
      <w:lvlText w:val="%1."/>
      <w:lvlJc w:val="left"/>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89118E"/>
    <w:rsid w:val="01B154AA"/>
    <w:rsid w:val="031A4A2D"/>
    <w:rsid w:val="03DC726D"/>
    <w:rsid w:val="05B35C7F"/>
    <w:rsid w:val="08D638D4"/>
    <w:rsid w:val="09865CBD"/>
    <w:rsid w:val="0D7D0092"/>
    <w:rsid w:val="0D8D258C"/>
    <w:rsid w:val="11B40E42"/>
    <w:rsid w:val="1331204B"/>
    <w:rsid w:val="1C427D00"/>
    <w:rsid w:val="1C5046AB"/>
    <w:rsid w:val="1D7D068C"/>
    <w:rsid w:val="22921A0F"/>
    <w:rsid w:val="24F10479"/>
    <w:rsid w:val="270C05A6"/>
    <w:rsid w:val="28A10706"/>
    <w:rsid w:val="294C4DA8"/>
    <w:rsid w:val="304E49F0"/>
    <w:rsid w:val="32DC46E9"/>
    <w:rsid w:val="346076B1"/>
    <w:rsid w:val="358E5B04"/>
    <w:rsid w:val="37FD7F7E"/>
    <w:rsid w:val="381E38D4"/>
    <w:rsid w:val="38342E9A"/>
    <w:rsid w:val="386075E4"/>
    <w:rsid w:val="38D04D95"/>
    <w:rsid w:val="3B542D41"/>
    <w:rsid w:val="3E4F1A02"/>
    <w:rsid w:val="3F4D7CE9"/>
    <w:rsid w:val="3FEE0458"/>
    <w:rsid w:val="413A0B2D"/>
    <w:rsid w:val="41A5233F"/>
    <w:rsid w:val="41A63049"/>
    <w:rsid w:val="42625A84"/>
    <w:rsid w:val="459F3446"/>
    <w:rsid w:val="472059C8"/>
    <w:rsid w:val="4B9517FA"/>
    <w:rsid w:val="4BF90118"/>
    <w:rsid w:val="53A82E9D"/>
    <w:rsid w:val="5759265D"/>
    <w:rsid w:val="580B05A3"/>
    <w:rsid w:val="58A24F33"/>
    <w:rsid w:val="5C02050D"/>
    <w:rsid w:val="61301734"/>
    <w:rsid w:val="623A61DB"/>
    <w:rsid w:val="64A439AF"/>
    <w:rsid w:val="66214F69"/>
    <w:rsid w:val="67B332B3"/>
    <w:rsid w:val="67C16124"/>
    <w:rsid w:val="6AE12FA4"/>
    <w:rsid w:val="6BAB6F4D"/>
    <w:rsid w:val="719336F9"/>
    <w:rsid w:val="75F32F93"/>
    <w:rsid w:val="78847E4A"/>
    <w:rsid w:val="7A0F67D9"/>
    <w:rsid w:val="7B36763F"/>
    <w:rsid w:val="7B6A711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60" w:lineRule="auto"/>
      <w:jc w:val="both"/>
    </w:pPr>
    <w:rPr>
      <w:rFonts w:ascii="Times New Roman" w:hAnsi="Times New Roman" w:eastAsia="Times New Roman" w:cstheme="minorBidi"/>
      <w:sz w:val="22"/>
      <w:szCs w:val="22"/>
      <w:lang w:val="en-US" w:eastAsia="en-US" w:bidi="ar-SA"/>
    </w:rPr>
  </w:style>
  <w:style w:type="paragraph" w:styleId="3">
    <w:name w:val="heading 1"/>
    <w:basedOn w:val="1"/>
    <w:next w:val="1"/>
    <w:link w:val="139"/>
    <w:qFormat/>
    <w:uiPriority w:val="9"/>
    <w:pPr>
      <w:keepNext/>
      <w:keepLines/>
      <w:pageBreakBefore w:val="0"/>
      <w:spacing w:before="200" w:after="80"/>
      <w:outlineLvl w:val="0"/>
    </w:pPr>
    <w:rPr>
      <w:rFonts w:asciiTheme="majorHAnsi" w:hAnsiTheme="majorHAnsi" w:eastAsiaTheme="majorEastAsia" w:cstheme="majorBidi"/>
      <w:b/>
      <w:bCs/>
      <w:color w:val="000000"/>
      <w:sz w:val="28"/>
      <w:szCs w:val="28"/>
    </w:rPr>
  </w:style>
  <w:style w:type="paragraph" w:styleId="4">
    <w:name w:val="heading 2"/>
    <w:basedOn w:val="1"/>
    <w:next w:val="1"/>
    <w:link w:val="140"/>
    <w:unhideWhenUsed/>
    <w:qFormat/>
    <w:uiPriority w:val="9"/>
    <w:pPr>
      <w:keepNext/>
      <w:keepLines/>
      <w:spacing w:before="200" w:after="80"/>
      <w:outlineLvl w:val="1"/>
    </w:pPr>
    <w:rPr>
      <w:rFonts w:asciiTheme="majorHAnsi" w:hAnsiTheme="majorHAnsi" w:eastAsiaTheme="majorEastAsia" w:cstheme="majorBidi"/>
      <w:b/>
      <w:bCs/>
      <w:color w:val="000000"/>
      <w:sz w:val="24"/>
      <w:szCs w:val="26"/>
    </w:rPr>
  </w:style>
  <w:style w:type="paragraph" w:styleId="5">
    <w:name w:val="heading 3"/>
    <w:basedOn w:val="1"/>
    <w:next w:val="1"/>
    <w:link w:val="141"/>
    <w:unhideWhenUsed/>
    <w:qFormat/>
    <w:uiPriority w:val="9"/>
    <w:pPr>
      <w:keepNext/>
      <w:keepLines/>
      <w:spacing w:before="200" w:after="80"/>
      <w:outlineLvl w:val="2"/>
    </w:pPr>
    <w:rPr>
      <w:rFonts w:asciiTheme="majorHAnsi" w:hAnsiTheme="majorHAnsi" w:eastAsiaTheme="majorEastAsia" w:cstheme="majorBidi"/>
      <w:b/>
      <w:bCs/>
      <w:color w:val="000000"/>
      <w:sz w:val="22"/>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qFormat/>
    <w:uiPriority w:val="99"/>
    <w:pPr>
      <w:tabs>
        <w:tab w:val="center" w:pos="4680"/>
        <w:tab w:val="right" w:pos="9360"/>
      </w:tabs>
      <w:spacing w:after="0" w:line="240" w:lineRule="auto"/>
    </w:pPr>
  </w:style>
  <w:style w:type="paragraph" w:styleId="25">
    <w:name w:val="header"/>
    <w:basedOn w:val="1"/>
    <w:link w:val="136"/>
    <w:unhideWhenUsed/>
    <w:qFormat/>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styleId="135">
    <w:name w:val="Hyperlink"/>
    <w:basedOn w:val="132"/>
    <w:semiHidden/>
    <w:unhideWhenUsed/>
    <w:qFormat/>
    <w:uiPriority w:val="99"/>
    <w:rPr>
      <w:color w:val="0000FF"/>
      <w:u w:val="single"/>
    </w:rPr>
  </w:style>
  <w:style w:type="character" w:customStyle="1" w:styleId="136">
    <w:name w:val="Header Char"/>
    <w:basedOn w:val="132"/>
    <w:link w:val="25"/>
    <w:qFormat/>
    <w:uiPriority w:val="99"/>
  </w:style>
  <w:style w:type="character" w:customStyle="1" w:styleId="137">
    <w:name w:val="Footer Char"/>
    <w:basedOn w:val="132"/>
    <w:link w:val="24"/>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2"/>
    <w:link w:val="19"/>
    <w:qFormat/>
    <w:uiPriority w:val="99"/>
  </w:style>
  <w:style w:type="character" w:customStyle="1" w:styleId="146">
    <w:name w:val="Body Text 2 Char"/>
    <w:basedOn w:val="132"/>
    <w:link w:val="28"/>
    <w:qFormat/>
    <w:uiPriority w:val="99"/>
  </w:style>
  <w:style w:type="character" w:customStyle="1" w:styleId="147">
    <w:name w:val="Body Text 3 Char"/>
    <w:basedOn w:val="132"/>
    <w:link w:val="17"/>
    <w:qFormat/>
    <w:uiPriority w:val="99"/>
    <w:rPr>
      <w:sz w:val="16"/>
      <w:szCs w:val="16"/>
    </w:rPr>
  </w:style>
  <w:style w:type="character" w:customStyle="1" w:styleId="148">
    <w:name w:val="Macro Text Char"/>
    <w:basedOn w:val="132"/>
    <w:link w:val="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2"/>
    <w:link w:val="149"/>
    <w:qFormat/>
    <w:uiPriority w:val="29"/>
    <w:rPr>
      <w:i/>
      <w:iCs/>
      <w:color w:val="000000" w:themeColor="text1"/>
      <w14:textFill>
        <w14:solidFill>
          <w14:schemeClr w14:val="tx1"/>
        </w14:solidFill>
      </w14:textFill>
    </w:rPr>
  </w:style>
  <w:style w:type="character" w:customStyle="1" w:styleId="151">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2"/>
    <w:link w:val="157"/>
    <w:qFormat/>
    <w:uiPriority w:val="30"/>
    <w:rPr>
      <w:b/>
      <w:bCs/>
      <w:i/>
      <w:iCs/>
      <w:color w:val="4F81BD" w:themeColor="accent1"/>
      <w14:textFill>
        <w14:solidFill>
          <w14:schemeClr w14:val="accent1"/>
        </w14:solidFill>
      </w14:textFill>
    </w:rPr>
  </w:style>
  <w:style w:type="character" w:customStyle="1" w:styleId="159">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2"/>
    <w:qFormat/>
    <w:uiPriority w:val="21"/>
    <w:rPr>
      <w:b/>
      <w:bCs/>
      <w:i/>
      <w:iCs/>
      <w:color w:val="4F81BD" w:themeColor="accent1"/>
      <w14:textFill>
        <w14:solidFill>
          <w14:schemeClr w14:val="accent1"/>
        </w14:solidFill>
      </w14:textFill>
    </w:rPr>
  </w:style>
  <w:style w:type="character" w:customStyle="1" w:styleId="161">
    <w:name w:val="Subtle Reference"/>
    <w:basedOn w:val="132"/>
    <w:qFormat/>
    <w:uiPriority w:val="31"/>
    <w:rPr>
      <w:smallCaps/>
      <w:color w:val="C0504D" w:themeColor="accent2"/>
      <w:u w:val="single"/>
      <w14:textFill>
        <w14:solidFill>
          <w14:schemeClr w14:val="accent2"/>
        </w14:solidFill>
      </w14:textFill>
    </w:rPr>
  </w:style>
  <w:style w:type="character" w:customStyle="1" w:styleId="162">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2"/>
    <w:qFormat/>
    <w:uiPriority w:val="33"/>
    <w:rPr>
      <w:b/>
      <w:bCs/>
      <w:smallCaps/>
      <w:spacing w:val="5"/>
    </w:rPr>
  </w:style>
  <w:style w:type="paragraph" w:customStyle="1" w:styleId="164">
    <w:name w:val="TOC Heading"/>
    <w:basedOn w:val="3"/>
    <w:next w:val="1"/>
    <w:semiHidden/>
    <w:unhideWhenUsed/>
    <w:qFormat/>
    <w:uiPriority w:val="39"/>
    <w:pPr>
      <w:outlineLvl w:val="9"/>
    </w:pPr>
  </w:style>
  <w:style w:type="paragraph" w:customStyle="1" w:styleId="165">
    <w:name w:val="Figure Legend"/>
    <w:qFormat/>
    <w:uiPriority w:val="0"/>
    <w:pPr>
      <w:keepLines/>
      <w:spacing w:before="100" w:after="160" w:line="276" w:lineRule="auto"/>
    </w:pPr>
    <w:rPr>
      <w:rFonts w:ascii="Times New Roman" w:hAnsi="Times New Roman" w:eastAsia="Times New Roman" w:cstheme="minorBidi"/>
      <w:sz w:val="18"/>
      <w:szCs w:val="22"/>
      <w:lang w:val="en-US" w:eastAsia="en-US" w:bidi="ar-SA"/>
    </w:rPr>
  </w:style>
  <w:style w:type="paragraph" w:customStyle="1" w:styleId="166">
    <w:name w:val="Reference"/>
    <w:qFormat/>
    <w:uiPriority w:val="0"/>
    <w:pPr>
      <w:spacing w:after="40" w:line="240" w:lineRule="auto"/>
      <w:ind w:left="312" w:hanging="312"/>
    </w:pPr>
    <w:rPr>
      <w:rFonts w:ascii="Times New Roman" w:hAnsi="Times New Roman" w:eastAsia="Times New Roman" w:cstheme="minorBidi"/>
      <w:sz w:val="18"/>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7154</Words>
  <Characters>45977</Characters>
  <Lines>0</Lines>
  <Paragraphs>0</Paragraphs>
  <TotalTime>3</TotalTime>
  <ScaleCrop>false</ScaleCrop>
  <LinksUpToDate>false</LinksUpToDate>
  <CharactersWithSpaces>52998</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Emotional distress predicts later problematic digital use in adolescents</dc:title>
  <dc:creator>Jing Zhang; Ling Zhang; Xizhe Zhang</dc:creator>
  <cp:keywords>adolescent mental health; digital use; social media; cross-lagged panel network</cp:keywords>
  <cp:lastModifiedBy>Ling^O^</cp:lastModifiedBy>
  <cp:revision>1</cp:revision>
  <dcterms:created xsi:type="dcterms:W3CDTF">2013-12-23T23:15:00Z</dcterms:created>
  <dcterms:modified xsi:type="dcterms:W3CDTF">2026-09-14T06:39:46Z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D21E25C4EDA5462EB4FAE4E480DC44F9_13</vt:lpwstr>
  </property>
  <property fmtid="{D5CDD505-2E9C-101B-9397-08002B2CF9AE}" pid="4" name="KSOTemplateDocerSaveRecord">
    <vt:lpwstr>eyJoZGlkIjoiZjc4YjlhOTM5MTU2Zjg5MGFjODRlMDhhMzNkODUxZDIiLCJ1c2VySWQiOiI4OTQyNDAyOTcifQ==</vt:lpwstr>
  </property>
</Properties>
</file>