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65F9295">
      <w:pPr>
        <w:spacing w:after="160"/>
        <w:jc w:val="center"/>
        <w:rPr>
          <w:rFonts w:hint="default" w:ascii="Arial" w:hAnsi="Arial" w:cs="Arial"/>
          <w:sz w:val="36"/>
          <w:szCs w:val="36"/>
          <w:highlight w:val="none"/>
        </w:rPr>
      </w:pPr>
      <w:r>
        <w:rPr>
          <w:rFonts w:hint="default" w:ascii="Arial" w:hAnsi="Arial" w:cs="Arial"/>
          <w:b/>
          <w:sz w:val="36"/>
          <w:szCs w:val="36"/>
          <w:highlight w:val="none"/>
        </w:rPr>
        <w:t>Emotional distress predict</w:t>
      </w:r>
      <w:r>
        <w:rPr>
          <w:rFonts w:hint="eastAsia" w:ascii="Arial" w:hAnsi="Arial" w:eastAsia="宋体" w:cs="Arial"/>
          <w:b/>
          <w:sz w:val="36"/>
          <w:szCs w:val="36"/>
          <w:highlight w:val="none"/>
          <w:lang w:val="en-US" w:eastAsia="zh-CN"/>
        </w:rPr>
        <w:t>s</w:t>
      </w:r>
      <w:r>
        <w:rPr>
          <w:rFonts w:hint="default" w:ascii="Arial" w:hAnsi="Arial" w:cs="Arial"/>
          <w:b/>
          <w:sz w:val="36"/>
          <w:szCs w:val="36"/>
          <w:highlight w:val="none"/>
        </w:rPr>
        <w:t xml:space="preserve"> change in adolescent problematic digital use and related symptoms</w:t>
      </w:r>
    </w:p>
    <w:p w14:paraId="7882169F">
      <w:pPr>
        <w:keepNext w:val="0"/>
        <w:keepLines w:val="0"/>
        <w:pageBreakBefore w:val="0"/>
        <w:widowControl/>
        <w:kinsoku/>
        <w:wordWrap/>
        <w:overflowPunct/>
        <w:topLinePunct w:val="0"/>
        <w:autoSpaceDE/>
        <w:autoSpaceDN/>
        <w:bidi w:val="0"/>
        <w:adjustRightInd/>
        <w:snapToGrid/>
        <w:spacing w:after="60"/>
        <w:jc w:val="center"/>
        <w:textAlignment w:val="auto"/>
        <w:rPr>
          <w:rFonts w:hint="default" w:ascii="Arial" w:hAnsi="Arial" w:cs="Arial"/>
          <w:highlight w:val="none"/>
          <w:lang w:val="en-US"/>
        </w:rPr>
      </w:pPr>
      <w:r>
        <w:rPr>
          <w:rFonts w:hint="default" w:ascii="Arial" w:hAnsi="Arial" w:cs="Arial"/>
          <w:sz w:val="22"/>
          <w:highlight w:val="none"/>
        </w:rPr>
        <w:t>Jing Zhang</w:t>
      </w:r>
      <w:r>
        <w:rPr>
          <w:rFonts w:hint="default" w:ascii="Arial" w:hAnsi="Arial" w:eastAsia="宋体" w:cs="Arial"/>
          <w:sz w:val="22"/>
          <w:highlight w:val="none"/>
          <w:vertAlign w:val="superscript"/>
          <w:lang w:val="en-US" w:eastAsia="zh-CN"/>
        </w:rPr>
        <w:t>1</w:t>
      </w:r>
      <w:r>
        <w:rPr>
          <w:rFonts w:hint="default" w:ascii="Arial" w:hAnsi="Arial" w:cs="Arial"/>
          <w:sz w:val="22"/>
          <w:highlight w:val="none"/>
        </w:rPr>
        <w:t>, Ling Zhang</w:t>
      </w:r>
      <w:r>
        <w:rPr>
          <w:rFonts w:hint="default" w:ascii="Arial" w:hAnsi="Arial" w:eastAsia="宋体" w:cs="Arial"/>
          <w:sz w:val="22"/>
          <w:highlight w:val="none"/>
          <w:vertAlign w:val="superscript"/>
          <w:lang w:val="en-US" w:eastAsia="zh-CN"/>
        </w:rPr>
        <w:t>2</w:t>
      </w:r>
      <w:r>
        <w:rPr>
          <w:rFonts w:hint="default" w:ascii="Arial" w:hAnsi="Arial" w:cs="Arial"/>
          <w:sz w:val="22"/>
          <w:highlight w:val="none"/>
        </w:rPr>
        <w:t>, Xizhe Zhang</w:t>
      </w:r>
      <w:r>
        <w:rPr>
          <w:rFonts w:hint="default" w:ascii="Arial" w:hAnsi="Arial" w:eastAsia="宋体" w:cs="Arial"/>
          <w:sz w:val="22"/>
          <w:highlight w:val="none"/>
          <w:vertAlign w:val="superscript"/>
          <w:lang w:val="en-US" w:eastAsia="zh-CN"/>
        </w:rPr>
        <w:t>1,2,3</w:t>
      </w:r>
      <w:r>
        <w:rPr>
          <w:rFonts w:hint="eastAsia" w:ascii="Arial" w:hAnsi="Arial" w:eastAsia="宋体" w:cs="Arial"/>
          <w:sz w:val="22"/>
          <w:highlight w:val="none"/>
          <w:vertAlign w:val="superscript"/>
          <w:lang w:val="en-US" w:eastAsia="zh-CN"/>
        </w:rPr>
        <w:t>*</w:t>
      </w:r>
    </w:p>
    <w:p w14:paraId="504EDC10">
      <w:pPr>
        <w:keepNext w:val="0"/>
        <w:keepLines w:val="0"/>
        <w:pageBreakBefore w:val="0"/>
        <w:widowControl/>
        <w:kinsoku/>
        <w:wordWrap/>
        <w:overflowPunct/>
        <w:topLinePunct w:val="0"/>
        <w:autoSpaceDE/>
        <w:autoSpaceDN/>
        <w:bidi w:val="0"/>
        <w:adjustRightInd/>
        <w:snapToGrid/>
        <w:spacing w:after="0"/>
        <w:jc w:val="center"/>
        <w:textAlignment w:val="auto"/>
        <w:rPr>
          <w:rFonts w:hint="default" w:ascii="Arial" w:hAnsi="Arial" w:cs="Arial"/>
          <w:highlight w:val="none"/>
        </w:rPr>
      </w:pPr>
      <w:r>
        <w:rPr>
          <w:rFonts w:hint="eastAsia" w:ascii="Arial" w:hAnsi="Arial" w:eastAsia="宋体" w:cs="Arial"/>
          <w:sz w:val="19"/>
          <w:highlight w:val="none"/>
          <w:vertAlign w:val="superscript"/>
          <w:lang w:val="en-US" w:eastAsia="zh-CN"/>
        </w:rPr>
        <w:t xml:space="preserve">1 </w:t>
      </w:r>
      <w:r>
        <w:rPr>
          <w:rFonts w:hint="default" w:ascii="Arial" w:hAnsi="Arial" w:cs="Arial"/>
          <w:sz w:val="19"/>
          <w:highlight w:val="none"/>
        </w:rPr>
        <w:t>Nanjing Children's Hospital, Nanjing Medical University, Nanjing, China</w:t>
      </w:r>
    </w:p>
    <w:p w14:paraId="288C8C6A">
      <w:pPr>
        <w:keepNext w:val="0"/>
        <w:keepLines w:val="0"/>
        <w:pageBreakBefore w:val="0"/>
        <w:widowControl/>
        <w:kinsoku/>
        <w:wordWrap/>
        <w:overflowPunct/>
        <w:topLinePunct w:val="0"/>
        <w:autoSpaceDE/>
        <w:autoSpaceDN/>
        <w:bidi w:val="0"/>
        <w:adjustRightInd/>
        <w:snapToGrid/>
        <w:spacing w:after="0"/>
        <w:jc w:val="center"/>
        <w:textAlignment w:val="auto"/>
        <w:rPr>
          <w:rFonts w:hint="eastAsia" w:ascii="Arial" w:hAnsi="Arial" w:eastAsia="宋体" w:cs="Arial"/>
          <w:sz w:val="19"/>
          <w:highlight w:val="none"/>
          <w:lang w:val="en-US" w:eastAsia="zh-CN"/>
        </w:rPr>
      </w:pPr>
      <w:r>
        <w:rPr>
          <w:rFonts w:hint="eastAsia" w:ascii="Arial" w:hAnsi="Arial" w:eastAsia="宋体" w:cs="Arial"/>
          <w:sz w:val="19"/>
          <w:highlight w:val="none"/>
          <w:vertAlign w:val="superscript"/>
          <w:lang w:val="en-US" w:eastAsia="zh-CN"/>
        </w:rPr>
        <w:t>2</w:t>
      </w:r>
      <w:r>
        <w:rPr>
          <w:rFonts w:hint="default" w:ascii="Arial" w:hAnsi="Arial" w:cs="Arial"/>
          <w:sz w:val="19"/>
          <w:highlight w:val="none"/>
          <w:vertAlign w:val="superscript"/>
        </w:rPr>
        <w:t xml:space="preserve"> </w:t>
      </w:r>
      <w:r>
        <w:rPr>
          <w:rFonts w:hint="default" w:ascii="Arial" w:hAnsi="Arial" w:cs="Arial"/>
          <w:sz w:val="19"/>
          <w:highlight w:val="none"/>
        </w:rPr>
        <w:t>S</w:t>
      </w:r>
      <w:r>
        <w:rPr>
          <w:rFonts w:hint="eastAsia" w:ascii="Arial" w:hAnsi="Arial" w:eastAsia="宋体" w:cs="Arial"/>
          <w:sz w:val="19"/>
          <w:highlight w:val="none"/>
          <w:lang w:val="en-US" w:eastAsia="zh-CN"/>
        </w:rPr>
        <w:t>c</w:t>
      </w:r>
      <w:r>
        <w:rPr>
          <w:rFonts w:hint="default" w:ascii="Arial" w:hAnsi="Arial" w:cs="Arial"/>
          <w:sz w:val="19"/>
          <w:highlight w:val="none"/>
        </w:rPr>
        <w:t>hool of Biomedical Engineering and Informatics, Nanjing Medical University, Nanjing, Chin</w:t>
      </w:r>
      <w:r>
        <w:rPr>
          <w:rFonts w:hint="eastAsia" w:ascii="Arial" w:hAnsi="Arial" w:eastAsia="宋体" w:cs="Arial"/>
          <w:sz w:val="19"/>
          <w:highlight w:val="none"/>
          <w:lang w:val="en-US" w:eastAsia="zh-CN"/>
        </w:rPr>
        <w:t>a</w:t>
      </w:r>
    </w:p>
    <w:p w14:paraId="248F792B">
      <w:pPr>
        <w:keepNext w:val="0"/>
        <w:keepLines w:val="0"/>
        <w:pageBreakBefore w:val="0"/>
        <w:widowControl/>
        <w:kinsoku/>
        <w:wordWrap/>
        <w:overflowPunct/>
        <w:topLinePunct w:val="0"/>
        <w:autoSpaceDE/>
        <w:autoSpaceDN/>
        <w:bidi w:val="0"/>
        <w:adjustRightInd/>
        <w:snapToGrid/>
        <w:spacing w:after="0"/>
        <w:jc w:val="center"/>
        <w:textAlignment w:val="auto"/>
        <w:rPr>
          <w:rFonts w:hint="default" w:ascii="Arial" w:hAnsi="Arial" w:cs="Arial"/>
          <w:sz w:val="19"/>
          <w:highlight w:val="none"/>
        </w:rPr>
      </w:pPr>
      <w:r>
        <w:rPr>
          <w:rFonts w:hint="default" w:ascii="Arial" w:hAnsi="Arial" w:eastAsia="宋体" w:cs="Arial"/>
          <w:sz w:val="19"/>
          <w:highlight w:val="none"/>
          <w:vertAlign w:val="superscript"/>
          <w:lang w:val="en-US" w:eastAsia="zh-CN"/>
        </w:rPr>
        <w:t>3</w:t>
      </w:r>
      <w:r>
        <w:rPr>
          <w:rFonts w:hint="default" w:ascii="Arial" w:hAnsi="Arial" w:cs="Arial"/>
          <w:sz w:val="19"/>
          <w:highlight w:val="none"/>
        </w:rPr>
        <w:t xml:space="preserve"> Nanjing Brain Hospital</w:t>
      </w:r>
      <w:r>
        <w:rPr>
          <w:rFonts w:hint="eastAsia" w:ascii="Arial" w:hAnsi="Arial" w:eastAsia="宋体" w:cs="Arial"/>
          <w:sz w:val="19"/>
          <w:highlight w:val="none"/>
          <w:lang w:val="en-US" w:eastAsia="zh-CN"/>
        </w:rPr>
        <w:t xml:space="preserve">, </w:t>
      </w:r>
      <w:r>
        <w:rPr>
          <w:rFonts w:hint="default" w:ascii="Arial" w:hAnsi="Arial" w:cs="Arial"/>
          <w:sz w:val="19"/>
          <w:highlight w:val="none"/>
        </w:rPr>
        <w:t>Nanjing Medical University, Nanjing, China</w:t>
      </w:r>
    </w:p>
    <w:p w14:paraId="4858727D">
      <w:pPr>
        <w:spacing w:after="0"/>
        <w:jc w:val="center"/>
        <w:rPr>
          <w:rFonts w:hint="default" w:ascii="Arial" w:hAnsi="Arial" w:cs="Arial"/>
          <w:highlight w:val="none"/>
        </w:rPr>
      </w:pPr>
      <w:r>
        <w:rPr>
          <w:rFonts w:hint="eastAsia" w:ascii="Arial" w:hAnsi="Arial" w:eastAsia="宋体" w:cs="Arial"/>
          <w:sz w:val="19"/>
          <w:highlight w:val="none"/>
          <w:lang w:val="en-US" w:eastAsia="zh-CN"/>
        </w:rPr>
        <w:t>*</w:t>
      </w:r>
      <w:r>
        <w:rPr>
          <w:rFonts w:hint="default" w:ascii="Arial" w:hAnsi="Arial" w:cs="Arial"/>
          <w:sz w:val="19"/>
          <w:highlight w:val="none"/>
        </w:rPr>
        <w:t xml:space="preserve"> Correspondence: Xizhe Zhang, zhangxizhe@njmu.edu.cn</w:t>
      </w:r>
    </w:p>
    <w:p w14:paraId="07145061">
      <w:pPr>
        <w:spacing w:before="100" w:after="200"/>
        <w:jc w:val="center"/>
        <w:rPr>
          <w:rFonts w:hint="default" w:ascii="Arial" w:hAnsi="Arial" w:cs="Arial"/>
          <w:highlight w:val="none"/>
        </w:rPr>
      </w:pPr>
      <w:r>
        <w:rPr>
          <w:rFonts w:hint="default" w:ascii="Arial" w:hAnsi="Arial" w:cs="Arial"/>
          <w:i/>
          <w:sz w:val="19"/>
          <w:highlight w:val="none"/>
        </w:rPr>
        <w:t>Running title: Temporal ordering of adolescent digital use</w:t>
      </w:r>
    </w:p>
    <w:p w14:paraId="218D32AA">
      <w:pPr>
        <w:pStyle w:val="3"/>
        <w:keepNext/>
        <w:rPr>
          <w:highlight w:val="none"/>
        </w:rPr>
      </w:pPr>
      <w:r>
        <w:rPr>
          <w:highlight w:val="none"/>
        </w:rPr>
        <w:t>Abstract</w:t>
      </w:r>
    </w:p>
    <w:p w14:paraId="584D47B4">
      <w:pPr>
        <w:spacing w:after="200"/>
        <w:rPr>
          <w:rFonts w:hint="eastAsia"/>
          <w:highlight w:val="none"/>
        </w:rPr>
      </w:pPr>
      <w:r>
        <w:rPr>
          <w:rFonts w:hint="eastAsia"/>
          <w:highlight w:val="none"/>
        </w:rPr>
        <w:t xml:space="preserve">Whether adolescent problematic digital use precedes or follows broader </w:t>
      </w:r>
      <w:r>
        <w:rPr>
          <w:rFonts w:hint="eastAsia" w:eastAsia="宋体"/>
          <w:highlight w:val="none"/>
          <w:lang w:eastAsia="zh-CN"/>
        </w:rPr>
        <w:t>mental health difficulties</w:t>
      </w:r>
      <w:r>
        <w:rPr>
          <w:rFonts w:hint="eastAsia"/>
          <w:highlight w:val="none"/>
        </w:rPr>
        <w:t xml:space="preserve"> remains unresolved. In the School-based Evaluation Advancing Response for Child Health (SEARCH) cohort in China (N</w:t>
      </w:r>
      <w:r>
        <w:rPr>
          <w:rFonts w:hint="eastAsia" w:eastAsia="宋体"/>
          <w:highlight w:val="none"/>
          <w:lang w:val="en-US" w:eastAsia="zh-CN"/>
        </w:rPr>
        <w:t xml:space="preserve"> </w:t>
      </w:r>
      <w:r>
        <w:rPr>
          <w:rFonts w:hint="eastAsia"/>
          <w:highlight w:val="none"/>
        </w:rPr>
        <w:t>=</w:t>
      </w:r>
      <w:r>
        <w:rPr>
          <w:rFonts w:hint="eastAsia" w:eastAsia="宋体"/>
          <w:highlight w:val="none"/>
          <w:lang w:val="en-US" w:eastAsia="zh-CN"/>
        </w:rPr>
        <w:t xml:space="preserve"> </w:t>
      </w:r>
      <w:r>
        <w:rPr>
          <w:rFonts w:hint="eastAsia"/>
          <w:highlight w:val="none"/>
        </w:rPr>
        <w:t>10,356; n</w:t>
      </w:r>
      <w:r>
        <w:rPr>
          <w:rFonts w:hint="eastAsia" w:eastAsia="宋体"/>
          <w:highlight w:val="none"/>
          <w:lang w:val="en-US" w:eastAsia="zh-CN"/>
        </w:rPr>
        <w:t xml:space="preserve"> </w:t>
      </w:r>
      <w:r>
        <w:rPr>
          <w:rFonts w:hint="eastAsia"/>
          <w:highlight w:val="none"/>
        </w:rPr>
        <w:t>=</w:t>
      </w:r>
      <w:r>
        <w:rPr>
          <w:rFonts w:hint="eastAsia" w:eastAsia="宋体"/>
          <w:highlight w:val="none"/>
          <w:lang w:val="en-US" w:eastAsia="zh-CN"/>
        </w:rPr>
        <w:t xml:space="preserve"> </w:t>
      </w:r>
      <w:r>
        <w:rPr>
          <w:rFonts w:hint="eastAsia"/>
          <w:highlight w:val="none"/>
        </w:rPr>
        <w:t>6,092 reassessed one year later), a cross-lagged panel network (CLPN) showed that emotional distress had the strongest positive net directionality (+0.249, 95% CI 0.086 to 0.418) and predicted later problematic digital use, insomnia, broad difficulties and diet.</w:t>
      </w:r>
      <w:r>
        <w:rPr>
          <w:rFonts w:hint="eastAsia" w:eastAsia="宋体"/>
          <w:highlight w:val="none"/>
          <w:lang w:val="en-US" w:eastAsia="zh-CN"/>
        </w:rPr>
        <w:t xml:space="preserve"> Problematic digital use showed no significant net directionality. </w:t>
      </w:r>
      <w:r>
        <w:rPr>
          <w:rFonts w:hint="eastAsia"/>
          <w:highlight w:val="none"/>
        </w:rPr>
        <w:t>In the UK Millennium Cohort Study (n</w:t>
      </w:r>
      <w:r>
        <w:rPr>
          <w:rFonts w:hint="eastAsia" w:eastAsia="宋体"/>
          <w:highlight w:val="none"/>
          <w:lang w:val="en-US" w:eastAsia="zh-CN"/>
        </w:rPr>
        <w:t xml:space="preserve"> </w:t>
      </w:r>
      <w:r>
        <w:rPr>
          <w:rFonts w:hint="eastAsia"/>
          <w:highlight w:val="none"/>
        </w:rPr>
        <w:t>=</w:t>
      </w:r>
      <w:r>
        <w:rPr>
          <w:rFonts w:hint="eastAsia" w:eastAsia="宋体"/>
          <w:highlight w:val="none"/>
          <w:lang w:val="en-US" w:eastAsia="zh-CN"/>
        </w:rPr>
        <w:t xml:space="preserve"> </w:t>
      </w:r>
      <w:r>
        <w:rPr>
          <w:rFonts w:hint="eastAsia"/>
          <w:highlight w:val="none"/>
        </w:rPr>
        <w:t>7,838)</w:t>
      </w:r>
      <w:r>
        <w:rPr>
          <w:rFonts w:hint="eastAsia" w:eastAsia="宋体"/>
          <w:highlight w:val="none"/>
          <w:lang w:val="en-US" w:eastAsia="zh-CN"/>
        </w:rPr>
        <w:t>,</w:t>
      </w:r>
      <w:r>
        <w:rPr>
          <w:rFonts w:hint="eastAsia"/>
          <w:highlight w:val="none"/>
        </w:rPr>
        <w:t xml:space="preserve"> </w:t>
      </w:r>
      <w:r>
        <w:rPr>
          <w:rFonts w:hint="eastAsia" w:eastAsia="宋体"/>
          <w:highlight w:val="none"/>
          <w:lang w:eastAsia="zh-CN"/>
        </w:rPr>
        <w:t>social media use</w:t>
      </w:r>
      <w:r>
        <w:rPr>
          <w:rFonts w:hint="eastAsia"/>
          <w:highlight w:val="none"/>
        </w:rPr>
        <w:t xml:space="preserve"> </w:t>
      </w:r>
      <w:r>
        <w:rPr>
          <w:rFonts w:hint="eastAsia" w:eastAsia="宋体"/>
          <w:highlight w:val="none"/>
          <w:lang w:val="en-US" w:eastAsia="zh-CN"/>
        </w:rPr>
        <w:t>w</w:t>
      </w:r>
      <w:r>
        <w:rPr>
          <w:rFonts w:hint="eastAsia"/>
          <w:highlight w:val="none"/>
        </w:rPr>
        <w:t>as the strongest net sink (−0.211, 95% CI −0.260 to −0.139), whereas hyperactivity/inattention was the leading</w:t>
      </w:r>
      <w:r>
        <w:rPr>
          <w:rFonts w:hint="eastAsia" w:eastAsia="宋体"/>
          <w:highlight w:val="none"/>
          <w:lang w:val="en-US" w:eastAsia="zh-CN"/>
        </w:rPr>
        <w:t xml:space="preserve"> net </w:t>
      </w:r>
      <w:r>
        <w:rPr>
          <w:rFonts w:hint="eastAsia"/>
          <w:highlight w:val="none"/>
        </w:rPr>
        <w:t xml:space="preserve">source. Static structural-control positions differed from CLPN net directionality. Bayesian net out-degree showed a positive but imprecise association with CLPN net directionality. </w:t>
      </w:r>
      <w:r>
        <w:rPr>
          <w:rFonts w:hint="eastAsia" w:eastAsia="宋体"/>
          <w:highlight w:val="none"/>
          <w:lang w:val="en-US" w:eastAsia="zh-CN"/>
        </w:rPr>
        <w:t>I</w:t>
      </w:r>
      <w:r>
        <w:rPr>
          <w:rFonts w:hint="eastAsia"/>
          <w:highlight w:val="none"/>
        </w:rPr>
        <w:t>n the Global Mind Project (n</w:t>
      </w:r>
      <w:r>
        <w:rPr>
          <w:rFonts w:hint="eastAsia" w:eastAsia="宋体"/>
          <w:highlight w:val="none"/>
          <w:lang w:val="en-US" w:eastAsia="zh-CN"/>
        </w:rPr>
        <w:t xml:space="preserve"> </w:t>
      </w:r>
      <w:r>
        <w:rPr>
          <w:rFonts w:hint="eastAsia"/>
          <w:highlight w:val="none"/>
        </w:rPr>
        <w:t>=</w:t>
      </w:r>
      <w:r>
        <w:rPr>
          <w:rFonts w:hint="eastAsia" w:eastAsia="宋体"/>
          <w:highlight w:val="none"/>
          <w:lang w:val="en-US" w:eastAsia="zh-CN"/>
        </w:rPr>
        <w:t xml:space="preserve"> </w:t>
      </w:r>
      <w:r>
        <w:rPr>
          <w:rFonts w:hint="eastAsia"/>
          <w:highlight w:val="none"/>
        </w:rPr>
        <w:t>147,506), emotion had the highest cross-sectional network strength.</w:t>
      </w:r>
      <w:r>
        <w:rPr>
          <w:rFonts w:hint="eastAsia" w:eastAsia="宋体"/>
          <w:highlight w:val="none"/>
          <w:lang w:val="en-US" w:eastAsia="zh-CN"/>
        </w:rPr>
        <w:t xml:space="preserve"> A</w:t>
      </w:r>
      <w:r>
        <w:rPr>
          <w:rFonts w:hint="eastAsia"/>
          <w:highlight w:val="none"/>
        </w:rPr>
        <w:t>cross longitudinal cohorts, psychological difficulties occupied leading net source positions, whereas screen-related measures did not.</w:t>
      </w:r>
      <w:bookmarkStart w:id="0" w:name="_GoBack"/>
      <w:bookmarkEnd w:id="0"/>
    </w:p>
    <w:p w14:paraId="2E3C8439">
      <w:pPr>
        <w:spacing w:after="200"/>
        <w:rPr>
          <w:b w:val="0"/>
          <w:bCs/>
          <w:highlight w:val="none"/>
        </w:rPr>
      </w:pPr>
      <w:r>
        <w:rPr>
          <w:b/>
          <w:highlight w:val="none"/>
        </w:rPr>
        <w:t xml:space="preserve">Keywords: </w:t>
      </w:r>
      <w:r>
        <w:rPr>
          <w:rFonts w:hint="eastAsia"/>
          <w:b w:val="0"/>
          <w:bCs/>
          <w:highlight w:val="none"/>
        </w:rPr>
        <w:t>adolescent mental health; emotional distress; problematic digital use; social media use; cross-lagged panel network; network control</w:t>
      </w:r>
    </w:p>
    <w:p w14:paraId="43F24CD3">
      <w:pPr>
        <w:pStyle w:val="3"/>
        <w:keepNext/>
        <w:rPr>
          <w:highlight w:val="none"/>
        </w:rPr>
      </w:pPr>
      <w:r>
        <w:rPr>
          <w:highlight w:val="none"/>
        </w:rPr>
        <w:t>Introduction</w:t>
      </w:r>
    </w:p>
    <w:p w14:paraId="3A786CD0">
      <w:pPr>
        <w:rPr>
          <w:rFonts w:hint="eastAsia"/>
          <w:highlight w:val="none"/>
        </w:rPr>
      </w:pPr>
      <w:r>
        <w:rPr>
          <w:rFonts w:hint="eastAsia" w:eastAsia="宋体"/>
          <w:highlight w:val="none"/>
          <w:lang w:val="en-US" w:eastAsia="zh-CN"/>
        </w:rPr>
        <w:t>M</w:t>
      </w:r>
      <w:r>
        <w:rPr>
          <w:rFonts w:hint="eastAsia" w:eastAsia="宋体"/>
          <w:highlight w:val="none"/>
          <w:lang w:eastAsia="zh-CN"/>
        </w:rPr>
        <w:t>ental health difficulties</w:t>
      </w:r>
      <w:r>
        <w:rPr>
          <w:rFonts w:hint="eastAsia"/>
          <w:highlight w:val="none"/>
        </w:rPr>
        <w:t xml:space="preserve"> are widespread among young people</w:t>
      </w:r>
      <w:r>
        <w:rPr>
          <w:rFonts w:hint="eastAsia" w:eastAsia="宋体"/>
          <w:highlight w:val="none"/>
          <w:vertAlign w:val="superscript"/>
          <w:lang w:val="en-US" w:eastAsia="zh-CN"/>
        </w:rPr>
        <w:t>1</w:t>
      </w:r>
      <w:r>
        <w:rPr>
          <w:rFonts w:hint="eastAsia"/>
          <w:highlight w:val="none"/>
        </w:rPr>
        <w:t>. Within this context, adolescent problematic digital use rarely occurs in isolation. Problematic internet or smartphone use is associated with emotional distress and broader behavioural problems</w:t>
      </w:r>
      <w:r>
        <w:rPr>
          <w:rFonts w:hint="eastAsia" w:eastAsia="宋体"/>
          <w:highlight w:val="none"/>
          <w:vertAlign w:val="superscript"/>
          <w:lang w:val="en-US" w:eastAsia="zh-CN"/>
        </w:rPr>
        <w:t>2-4</w:t>
      </w:r>
      <w:r>
        <w:rPr>
          <w:rFonts w:hint="eastAsia" w:eastAsia="宋体"/>
          <w:highlight w:val="none"/>
          <w:vertAlign w:val="baseline"/>
          <w:lang w:val="en-US" w:eastAsia="zh-CN"/>
        </w:rPr>
        <w:t>.</w:t>
      </w:r>
      <w:r>
        <w:rPr>
          <w:rFonts w:hint="eastAsia"/>
          <w:highlight w:val="none"/>
        </w:rPr>
        <w:t xml:space="preserve"> Social media use, screen time and problematic use have also been associated with depressive symptoms and sleep problems</w:t>
      </w:r>
      <w:r>
        <w:rPr>
          <w:rFonts w:hint="eastAsia" w:eastAsia="宋体"/>
          <w:highlight w:val="none"/>
          <w:vertAlign w:val="superscript"/>
          <w:lang w:val="en-US" w:eastAsia="zh-CN"/>
        </w:rPr>
        <w:t>5-9</w:t>
      </w:r>
      <w:r>
        <w:rPr>
          <w:rFonts w:hint="eastAsia"/>
          <w:highlight w:val="none"/>
        </w:rPr>
        <w:t>. These associations are clinically important, but they do not establish temporal order. Emotional distress may precede compensatory or avoidant digital engagement, whereas escalating digital use may displace sleep, physical activity or offline interaction. Longitudinal estimates</w:t>
      </w:r>
      <w:r>
        <w:rPr>
          <w:rFonts w:hint="eastAsia" w:eastAsia="宋体"/>
          <w:highlight w:val="none"/>
          <w:lang w:val="en-US" w:eastAsia="zh-CN"/>
        </w:rPr>
        <w:t xml:space="preserve"> </w:t>
      </w:r>
      <w:r>
        <w:rPr>
          <w:rFonts w:hint="eastAsia"/>
          <w:highlight w:val="none"/>
        </w:rPr>
        <w:t>are often small and vary across digital-use constructs, developmental periods and analytical specifications</w:t>
      </w:r>
      <w:r>
        <w:rPr>
          <w:rFonts w:hint="eastAsia" w:eastAsia="宋体"/>
          <w:highlight w:val="none"/>
          <w:vertAlign w:val="superscript"/>
          <w:lang w:val="en-US" w:eastAsia="zh-CN"/>
        </w:rPr>
        <w:t>10, 11</w:t>
      </w:r>
      <w:r>
        <w:rPr>
          <w:rFonts w:hint="eastAsia"/>
          <w:highlight w:val="none"/>
        </w:rPr>
        <w:t>. The central question is which domains predict subsequent change across the wider mental health system.</w:t>
      </w:r>
    </w:p>
    <w:p w14:paraId="0D8CE3BF">
      <w:pPr>
        <w:rPr>
          <w:rFonts w:hint="eastAsia" w:eastAsia="宋体"/>
          <w:highlight w:val="none"/>
          <w:lang w:val="en-US" w:eastAsia="zh-CN"/>
        </w:rPr>
      </w:pPr>
      <w:r>
        <w:rPr>
          <w:rFonts w:hint="eastAsia"/>
          <w:highlight w:val="none"/>
        </w:rPr>
        <w:t>Network models provide a framework for examining this ordering without reducing multidomain comorbidity to a single total score</w:t>
      </w:r>
      <w:r>
        <w:rPr>
          <w:rFonts w:hint="eastAsia" w:eastAsia="宋体"/>
          <w:highlight w:val="none"/>
          <w:vertAlign w:val="superscript"/>
          <w:lang w:val="en-US" w:eastAsia="zh-CN"/>
        </w:rPr>
        <w:t>12-15</w:t>
      </w:r>
      <w:r>
        <w:rPr>
          <w:rFonts w:hint="eastAsia"/>
          <w:highlight w:val="none"/>
        </w:rPr>
        <w:t>. Rather than treating co-occurring difficulties as manifestations of a single underlying disorder, the network approach conceptualises symptoms and health domains as connected components of a wider system</w:t>
      </w:r>
      <w:r>
        <w:rPr>
          <w:rFonts w:hint="eastAsia" w:eastAsia="宋体"/>
          <w:highlight w:val="none"/>
          <w:vertAlign w:val="superscript"/>
          <w:lang w:val="en-US" w:eastAsia="zh-CN"/>
        </w:rPr>
        <w:t>16, 17</w:t>
      </w:r>
      <w:r>
        <w:rPr>
          <w:rFonts w:hint="eastAsia"/>
          <w:highlight w:val="none"/>
        </w:rPr>
        <w:t>. Cross-sectional Gaussian graphical models estimate conditional associations, while centrality measures identify highly connected nodes</w:t>
      </w:r>
      <w:r>
        <w:rPr>
          <w:rFonts w:hint="eastAsia" w:eastAsia="宋体"/>
          <w:highlight w:val="none"/>
          <w:vertAlign w:val="superscript"/>
          <w:lang w:val="en-US" w:eastAsia="zh-CN"/>
        </w:rPr>
        <w:t>18, 19</w:t>
      </w:r>
      <w:r>
        <w:rPr>
          <w:rFonts w:hint="eastAsia"/>
          <w:highlight w:val="none"/>
        </w:rPr>
        <w:t xml:space="preserve">. Connectedness alone does not indicate structural leverage or temporal priority. Structural-control methods address the static architecture of the system: </w:t>
      </w:r>
      <w:r>
        <w:rPr>
          <w:rFonts w:hint="eastAsia" w:eastAsia="宋体"/>
          <w:highlight w:val="none"/>
          <w:lang w:eastAsia="zh-CN"/>
        </w:rPr>
        <w:t>minimum dominating set (MDS) analysis identifies the smallest sets of nodes whose neighbourhoods cover the estimated network, whereas module-control analysis characterises inter-module structural coverage</w:t>
      </w:r>
      <w:r>
        <w:rPr>
          <w:rFonts w:hint="eastAsia" w:eastAsia="宋体"/>
          <w:highlight w:val="none"/>
          <w:vertAlign w:val="superscript"/>
          <w:lang w:val="en-US" w:eastAsia="zh-CN"/>
        </w:rPr>
        <w:t>20-22</w:t>
      </w:r>
      <w:r>
        <w:rPr>
          <w:rFonts w:hint="eastAsia"/>
          <w:highlight w:val="none"/>
        </w:rPr>
        <w:t>. These topological quantities may reveal structural leverage, but they do not establish causal effects or temporal precedence</w:t>
      </w:r>
      <w:r>
        <w:rPr>
          <w:rFonts w:hint="eastAsia" w:eastAsia="宋体"/>
          <w:highlight w:val="none"/>
          <w:vertAlign w:val="superscript"/>
          <w:lang w:val="en-US" w:eastAsia="zh-CN"/>
        </w:rPr>
        <w:t>23-25</w:t>
      </w:r>
      <w:r>
        <w:rPr>
          <w:rFonts w:hint="eastAsia"/>
          <w:highlight w:val="none"/>
        </w:rPr>
        <w:t>. Cross-lagged panel networks</w:t>
      </w:r>
      <w:r>
        <w:rPr>
          <w:rFonts w:hint="eastAsia" w:eastAsia="宋体"/>
          <w:highlight w:val="none"/>
          <w:lang w:val="en-US" w:eastAsia="zh-CN"/>
        </w:rPr>
        <w:t xml:space="preserve"> </w:t>
      </w:r>
      <w:r>
        <w:rPr>
          <w:rFonts w:hint="eastAsia"/>
          <w:highlight w:val="none"/>
        </w:rPr>
        <w:t>(CLPNs) instead quantify prospective prediction among domains, allowing static structural position to be compared with CLPN net directionality</w:t>
      </w:r>
      <w:r>
        <w:rPr>
          <w:rFonts w:hint="eastAsia" w:eastAsia="宋体"/>
          <w:highlight w:val="none"/>
          <w:vertAlign w:val="superscript"/>
          <w:lang w:val="en-US" w:eastAsia="zh-CN"/>
        </w:rPr>
        <w:t>26</w:t>
      </w:r>
      <w:r>
        <w:rPr>
          <w:rFonts w:hint="eastAsia"/>
          <w:highlight w:val="none"/>
        </w:rPr>
        <w:t>.</w:t>
      </w:r>
      <w:r>
        <w:rPr>
          <w:rFonts w:hint="eastAsia" w:eastAsia="宋体"/>
          <w:highlight w:val="none"/>
          <w:lang w:val="en-US" w:eastAsia="zh-CN"/>
        </w:rPr>
        <w:t xml:space="preserve"> </w:t>
      </w:r>
    </w:p>
    <w:p w14:paraId="383F6AC7">
      <w:pPr>
        <w:rPr>
          <w:rFonts w:hint="eastAsia" w:eastAsia="宋体"/>
          <w:highlight w:val="none"/>
          <w:lang w:val="en-US" w:eastAsia="zh-CN"/>
        </w:rPr>
      </w:pPr>
      <w:r>
        <w:rPr>
          <w:rFonts w:hint="eastAsia" w:eastAsia="宋体"/>
          <w:highlight w:val="none"/>
          <w:lang w:val="en-US" w:eastAsia="zh-CN"/>
        </w:rPr>
        <w:t xml:space="preserve">Establishing which domains lead change over time has direct implications for how adolescent problematic digital use is understood and addressed. If problematic digital use predicts subsequent broader difficulties, early assessment and prevention should address digital behaviour directly. If emotional distress predicts later problematic digital use, problematic digital use should be understood within a broader pattern of emotional difficulties. </w:t>
      </w:r>
    </w:p>
    <w:p w14:paraId="70C6C8EF">
      <w:pPr>
        <w:rPr>
          <w:rFonts w:hint="eastAsia"/>
          <w:highlight w:val="none"/>
        </w:rPr>
      </w:pPr>
      <w:r>
        <w:rPr>
          <w:rFonts w:hint="eastAsia"/>
          <w:highlight w:val="none"/>
        </w:rPr>
        <w:t>Against this background, we used a CLPN in the School-based Evaluation Advancing Response for Child Health (SEARCH) cohort in Jiangsu, China</w:t>
      </w:r>
      <w:r>
        <w:rPr>
          <w:rFonts w:hint="eastAsia" w:eastAsia="宋体"/>
          <w:highlight w:val="none"/>
          <w:vertAlign w:val="superscript"/>
          <w:lang w:val="en-US" w:eastAsia="zh-CN"/>
        </w:rPr>
        <w:t xml:space="preserve">27 </w:t>
      </w:r>
      <w:r>
        <w:rPr>
          <w:rFonts w:hint="eastAsia"/>
          <w:highlight w:val="none"/>
        </w:rPr>
        <w:t>to identify the leading longitudinal predictors across six health domains, with particular focus on the relative positions of problematic digital use and emotional distress.</w:t>
      </w:r>
      <w:r>
        <w:rPr>
          <w:rFonts w:hint="eastAsia" w:eastAsia="宋体"/>
          <w:highlight w:val="none"/>
          <w:lang w:val="en-US" w:eastAsia="zh-CN"/>
        </w:rPr>
        <w:t xml:space="preserve"> </w:t>
      </w:r>
      <w:r>
        <w:rPr>
          <w:rFonts w:hint="eastAsia"/>
          <w:highlight w:val="none"/>
        </w:rPr>
        <w:t>The model included generalised problematic digital use, emotional distress, broad Strengths and Difficulties Questionnaire (SDQ) difficulties, diet, insomnia and physical activity in 6,092 adolescents reassessed approximately one year later. We then examined whether</w:t>
      </w:r>
      <w:r>
        <w:rPr>
          <w:rFonts w:hint="eastAsia" w:eastAsia="宋体"/>
          <w:highlight w:val="none"/>
          <w:lang w:val="en-US" w:eastAsia="zh-CN"/>
        </w:rPr>
        <w:t xml:space="preserve"> </w:t>
      </w:r>
      <w:r>
        <w:rPr>
          <w:rFonts w:hint="eastAsia"/>
          <w:highlight w:val="none"/>
        </w:rPr>
        <w:t>the longitudinal position of screen-related measures</w:t>
      </w:r>
      <w:r>
        <w:rPr>
          <w:rFonts w:hint="eastAsia" w:eastAsia="宋体"/>
          <w:highlight w:val="none"/>
          <w:lang w:val="en-US" w:eastAsia="zh-CN"/>
        </w:rPr>
        <w:t xml:space="preserve"> </w:t>
      </w:r>
      <w:r>
        <w:rPr>
          <w:rFonts w:hint="eastAsia"/>
          <w:highlight w:val="none"/>
        </w:rPr>
        <w:t xml:space="preserve">extended to the UK Millennium Cohort Study (MCS), where </w:t>
      </w:r>
      <w:r>
        <w:rPr>
          <w:rFonts w:hint="eastAsia" w:eastAsia="宋体"/>
          <w:highlight w:val="none"/>
          <w:lang w:eastAsia="zh-CN"/>
        </w:rPr>
        <w:t>social media use</w:t>
      </w:r>
      <w:r>
        <w:rPr>
          <w:rFonts w:hint="eastAsia"/>
          <w:highlight w:val="none"/>
        </w:rPr>
        <w:t xml:space="preserve"> and gaming were measured directly between ages 14 and 17</w:t>
      </w:r>
      <w:r>
        <w:rPr>
          <w:rFonts w:hint="eastAsia" w:eastAsia="宋体"/>
          <w:highlight w:val="none"/>
          <w:vertAlign w:val="superscript"/>
          <w:lang w:val="en-US" w:eastAsia="zh-CN"/>
        </w:rPr>
        <w:t>28</w:t>
      </w:r>
      <w:r>
        <w:rPr>
          <w:rFonts w:hint="eastAsia"/>
          <w:highlight w:val="none"/>
        </w:rPr>
        <w:t>. Next, we characterised the 104-item baseline SEARCH network in 10,356 adolescents and compared its structural-control nodes with the CLPN net source positions. Within SEARCH, an exploratory Bayesian graph was used to assess whether baseline net out-degree aligned with the longitudinal ordering observed in the CLPN. Finally, a pooled multinational young-adult sample from the Global Mind Project</w:t>
      </w:r>
      <w:r>
        <w:rPr>
          <w:rFonts w:hint="eastAsia" w:eastAsia="宋体"/>
          <w:highlight w:val="none"/>
          <w:lang w:val="en-US" w:eastAsia="zh-CN"/>
        </w:rPr>
        <w:t xml:space="preserve"> (GMP)</w:t>
      </w:r>
      <w:r>
        <w:rPr>
          <w:rFonts w:hint="eastAsia" w:eastAsia="宋体"/>
          <w:highlight w:val="none"/>
          <w:vertAlign w:val="superscript"/>
          <w:lang w:val="en-US" w:eastAsia="zh-CN"/>
        </w:rPr>
        <w:t xml:space="preserve">29, 30 </w:t>
      </w:r>
      <w:r>
        <w:rPr>
          <w:rFonts w:hint="eastAsia"/>
          <w:highlight w:val="none"/>
        </w:rPr>
        <w:t xml:space="preserve">provided a cross-sectional comparison of network strength of emotion and </w:t>
      </w:r>
      <w:r>
        <w:rPr>
          <w:rFonts w:hint="eastAsia" w:eastAsia="宋体"/>
          <w:highlight w:val="none"/>
          <w:lang w:eastAsia="zh-CN"/>
        </w:rPr>
        <w:t>social media use</w:t>
      </w:r>
      <w:r>
        <w:rPr>
          <w:rFonts w:hint="eastAsia"/>
          <w:highlight w:val="none"/>
        </w:rPr>
        <w:t>. Across the longitudinal cohorts, we sought to identify the principal predictors of subsequent change across the broader mental health system, focusing on whether screen-related behaviours or psychological difficulties occupied the leading CLPN net source positions. Within SEARCH, we also examined whether these longitudinal positions corresponded to the parts of the symptom system identified by static structural-control analyses. The pooled GMP analysis provided a cross-sectional comparison of the relative network prominence of emotional and screen-related domains.</w:t>
      </w:r>
    </w:p>
    <w:p w14:paraId="38758A5C">
      <w:pPr>
        <w:pStyle w:val="3"/>
        <w:keepNext/>
        <w:rPr>
          <w:highlight w:val="none"/>
        </w:rPr>
      </w:pPr>
      <w:r>
        <w:rPr>
          <w:highlight w:val="none"/>
        </w:rPr>
        <w:t>Results</w:t>
      </w:r>
    </w:p>
    <w:p w14:paraId="73A2C3A8">
      <w:pPr>
        <w:pStyle w:val="5"/>
        <w:keepNext/>
        <w:rPr>
          <w:highlight w:val="none"/>
        </w:rPr>
      </w:pPr>
      <w:r>
        <w:rPr>
          <w:rFonts w:hint="eastAsia"/>
          <w:highlight w:val="none"/>
        </w:rPr>
        <w:t>Emotional distress is the strongest net source in SEARCH</w:t>
      </w:r>
    </w:p>
    <w:p w14:paraId="3C4A27C7">
      <w:pPr>
        <w:rPr>
          <w:rFonts w:hint="eastAsia"/>
          <w:highlight w:val="none"/>
        </w:rPr>
      </w:pPr>
      <w:r>
        <w:rPr>
          <w:rFonts w:hint="eastAsia"/>
          <w:highlight w:val="none"/>
        </w:rPr>
        <w:t>After data-quality screening, 10,356 adolescents from the School-based Evaluation Advancing Response for Child Health (SEARCH) cohort comprised the Wave 1 analytical sample. Of these, 6,092 were successfully linked to Wave 3, conducted approximately one year after Wave 1, and had complete data across all six longitudinal domains. For consistency across the text and figures, these domains are denoted throughout as CIAS (generalised problematic digital use), DASS (emotional distress), SDQ (broad difficulties), DIET (diet), ISI (insomnia) and ACT (physical activity).</w:t>
      </w:r>
      <w:r>
        <w:rPr>
          <w:rFonts w:hint="eastAsia" w:eastAsia="宋体"/>
          <w:highlight w:val="none"/>
          <w:lang w:val="en-US" w:eastAsia="zh-CN"/>
        </w:rPr>
        <w:t xml:space="preserve"> </w:t>
      </w:r>
      <w:r>
        <w:rPr>
          <w:rFonts w:hint="eastAsia"/>
          <w:highlight w:val="none"/>
        </w:rPr>
        <w:t xml:space="preserve">Compared with participants who could not be linked, the retained sample had lower baseline scores for CIAS (standardised mean difference, −0.35), DASS (−0.35), ISI (−0.31), DIET (−0.26) and SDQ (−0.18), and slightly higher physical activity (0.10; Supplementary Table S12). </w:t>
      </w:r>
    </w:p>
    <w:p w14:paraId="336CA784">
      <w:pPr>
        <w:rPr>
          <w:rFonts w:hint="eastAsia" w:eastAsia="宋体"/>
          <w:highlight w:val="none"/>
          <w:lang w:val="en-US" w:eastAsia="zh-CN"/>
        </w:rPr>
      </w:pPr>
      <w:r>
        <w:rPr>
          <w:rFonts w:hint="eastAsia"/>
          <w:highlight w:val="none"/>
        </w:rPr>
        <w:t xml:space="preserve">Within this retained sample, emotional distress showed the largest positive CLPN net directionality (+0.249, 95% CI 0.086 to 0.418; Fig. 1), placing it in the strongest net source position. Broad SDQ difficulties (−0.090, 95% CI −0.189 to −0.003) and physical activity (−0.145, 95% CI −0.218 to −0.060) occupied net sink positions. By contrast, problematic digital use (CIAS; −0.061, 95% CI −0.161 to 0.051), diet (−0.014, 95% CI −0.137 to 0.108) and insomnia (+0.061, 95% CI −0.091 to 0.217) showed no significant net directionality because their confidence intervals included zero. </w:t>
      </w:r>
    </w:p>
    <w:p w14:paraId="24883C49">
      <w:pPr>
        <w:rPr>
          <w:rFonts w:hint="eastAsia"/>
          <w:highlight w:val="none"/>
        </w:rPr>
      </w:pPr>
      <w:r>
        <w:rPr>
          <w:rFonts w:hint="eastAsia"/>
          <w:highlight w:val="none"/>
        </w:rPr>
        <w:t>This domain-level pattern was also evident in the individual cross-domain paths. Emotional distress predicted later change in problematic digital use (DASS→CIAS, β=0.160), insomnia (DASS→ISI, β=0.151), broad SDQ difficulties (DASS→SDQ, β=0.120) and diet (DASS→DIET, β=0.108). The similarly strong reciprocal path from insomnia to emotional distress (ISI→DASS, β=0.150) indicated reciprocal prospective prediction between these two domains, while emotional distress retained the strongest positive net directionality. Emotional distress retained the strongest net source position in sensitivity analyses restricted to Bonferroni-significant cross-domain paths, adjusted for age, sex and grade and excluding diet (Supplementary Table S13). Across these analyses, emotional distress was the leading longitudinal predictor in SEARCH; problematic digital use showed no clear net directionality.</w:t>
      </w:r>
    </w:p>
    <w:p w14:paraId="226C60A4">
      <w:pPr>
        <w:rPr>
          <w:rFonts w:hint="eastAsia" w:eastAsia="宋体"/>
          <w:b/>
          <w:highlight w:val="none"/>
          <w:lang w:eastAsia="zh-CN"/>
        </w:rPr>
      </w:pPr>
      <w:r>
        <w:rPr>
          <w:rFonts w:hint="eastAsia" w:eastAsia="宋体"/>
          <w:b/>
          <w:highlight w:val="none"/>
          <w:lang w:eastAsia="zh-CN"/>
        </w:rPr>
        <w:drawing>
          <wp:inline distT="0" distB="0" distL="114300" distR="114300">
            <wp:extent cx="5845810" cy="3188335"/>
            <wp:effectExtent l="0" t="0" r="8890" b="12065"/>
            <wp:docPr id="5" name="图片 5" descr="Figure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Figure_1"/>
                    <pic:cNvPicPr>
                      <a:picLocks noChangeAspect="1"/>
                    </pic:cNvPicPr>
                  </pic:nvPicPr>
                  <pic:blipFill>
                    <a:blip r:embed="rId8"/>
                    <a:stretch>
                      <a:fillRect/>
                    </a:stretch>
                  </pic:blipFill>
                  <pic:spPr>
                    <a:xfrm>
                      <a:off x="0" y="0"/>
                      <a:ext cx="5845810" cy="3188335"/>
                    </a:xfrm>
                    <a:prstGeom prst="rect">
                      <a:avLst/>
                    </a:prstGeom>
                  </pic:spPr>
                </pic:pic>
              </a:graphicData>
            </a:graphic>
          </wp:inline>
        </w:drawing>
      </w:r>
    </w:p>
    <w:p w14:paraId="066B0C7E">
      <w:pPr>
        <w:pStyle w:val="165"/>
        <w:keepLines/>
        <w:rPr>
          <w:highlight w:val="none"/>
        </w:rPr>
      </w:pPr>
      <w:r>
        <w:rPr>
          <w:b/>
          <w:highlight w:val="none"/>
        </w:rPr>
        <w:t xml:space="preserve">Figure 1 | </w:t>
      </w:r>
      <w:r>
        <w:rPr>
          <w:rFonts w:hint="eastAsia"/>
          <w:highlight w:val="none"/>
        </w:rPr>
        <w:t>Longitudinal cross-lagged network in SEARCH</w:t>
      </w:r>
      <w:r>
        <w:rPr>
          <w:rFonts w:hint="eastAsia" w:eastAsia="宋体"/>
          <w:highlight w:val="none"/>
          <w:lang w:val="en-US" w:eastAsia="zh-CN"/>
        </w:rPr>
        <w:t xml:space="preserve">. </w:t>
      </w:r>
      <w:r>
        <w:rPr>
          <w:rFonts w:hint="eastAsia"/>
          <w:highlight w:val="none"/>
        </w:rPr>
        <w:t>(a) Standardised coefficients from each Wave 1 domain to each Wave 3 domain; diagonal entries are autoregressive effects, and asterisks indicate nominal P &lt; 0.05 without multiplicity adjustment. (b) Directed network displaying cross-lagged paths with nominal P &lt; 0.05 and |β| ≥ 0.08. This display threshold was used for visual clarity. (c) CLPN net directionality, calculated as absolute cross-lagged out-strength minus in-strength, with 95% bootstrap confidence intervals. CIAS, generalised problematic digital use; DASS, emotional distress; SDQ, broad SDQ difficulties; DIET, diet; ISI, insomnia; ACT, physical activity. N = 6,092.</w:t>
      </w:r>
    </w:p>
    <w:p w14:paraId="55005244">
      <w:pPr>
        <w:pStyle w:val="5"/>
        <w:keepNext/>
        <w:rPr>
          <w:highlight w:val="none"/>
        </w:rPr>
      </w:pPr>
      <w:r>
        <w:rPr>
          <w:rFonts w:hint="eastAsia" w:eastAsia="宋体"/>
          <w:highlight w:val="none"/>
          <w:lang w:val="en-US" w:eastAsia="zh-CN"/>
        </w:rPr>
        <w:t>S</w:t>
      </w:r>
      <w:r>
        <w:rPr>
          <w:rFonts w:hint="eastAsia" w:eastAsia="宋体"/>
          <w:highlight w:val="none"/>
          <w:lang w:eastAsia="zh-CN"/>
        </w:rPr>
        <w:t>ocial media use</w:t>
      </w:r>
      <w:r>
        <w:rPr>
          <w:rFonts w:hint="eastAsia"/>
          <w:highlight w:val="none"/>
        </w:rPr>
        <w:t xml:space="preserve"> and gaming occupy net sink positions in the UK cohort</w:t>
      </w:r>
    </w:p>
    <w:p w14:paraId="31C27F37">
      <w:pPr>
        <w:rPr>
          <w:rFonts w:hint="eastAsia"/>
          <w:highlight w:val="none"/>
        </w:rPr>
      </w:pPr>
      <w:r>
        <w:rPr>
          <w:rFonts w:hint="eastAsia"/>
          <w:highlight w:val="none"/>
        </w:rPr>
        <w:t>In SEARCH, emotional distress occupied the strongest net source position, whereas problematic digital use showed no significant net directionality. We next tested this longitudinal ordering in the independent UK Millennium Cohort Study (MCS), which followed adolescents from age 14 to 17 and directly measured social media use and electronic gaming.</w:t>
      </w:r>
      <w:r>
        <w:rPr>
          <w:rFonts w:hint="eastAsia" w:eastAsia="宋体"/>
          <w:highlight w:val="none"/>
          <w:lang w:val="en-US" w:eastAsia="zh-CN"/>
        </w:rPr>
        <w:t xml:space="preserve"> </w:t>
      </w:r>
      <w:r>
        <w:rPr>
          <w:rFonts w:hint="eastAsia"/>
          <w:highlight w:val="none"/>
        </w:rPr>
        <w:t xml:space="preserve">Among 9,520 cohort members linked across the two ages, 7,838 had complete data across all six domains and entered the CLPN analysis. The resulting pattern placed screen-related behaviours in net sink positions: </w:t>
      </w:r>
      <w:r>
        <w:rPr>
          <w:rFonts w:hint="eastAsia" w:eastAsia="宋体"/>
          <w:highlight w:val="none"/>
          <w:lang w:eastAsia="zh-CN"/>
        </w:rPr>
        <w:t>social media use</w:t>
      </w:r>
      <w:r>
        <w:rPr>
          <w:rFonts w:hint="eastAsia"/>
          <w:highlight w:val="none"/>
        </w:rPr>
        <w:t xml:space="preserve"> was the strongest net sink (−0.211, 95% CI −0.260 to −0.139), while gaming (−0.089, 95% CI −0.149 to −0.020) and peer problems (−0.080, 95% CI −0.161 to −0.004; Fig. 2) also occupied net sink positions.</w:t>
      </w:r>
    </w:p>
    <w:p w14:paraId="454C20B4">
      <w:pPr>
        <w:rPr>
          <w:rFonts w:hint="eastAsia"/>
          <w:highlight w:val="none"/>
        </w:rPr>
      </w:pPr>
      <w:r>
        <w:rPr>
          <w:rFonts w:hint="eastAsia"/>
          <w:highlight w:val="none"/>
        </w:rPr>
        <w:t>Among the net source positions, hyperactivity/inattention was the strongest (+0.177, 95% CI 0.105 to 0.255), followed by self-reported internalising distress (+0.105, 95% CI 0.023 to 0.154) and conduct problems (+0.098, 95% CI 0.015 to 0.191). The strongest prospective paths to later screen-related behaviour originated from these broader difficulties</w:t>
      </w:r>
      <w:r>
        <w:rPr>
          <w:rFonts w:hint="eastAsia" w:eastAsia="宋体"/>
          <w:highlight w:val="none"/>
          <w:lang w:val="en-US" w:eastAsia="zh-CN"/>
        </w:rPr>
        <w:t>:</w:t>
      </w:r>
      <w:r>
        <w:rPr>
          <w:rFonts w:hint="eastAsia"/>
          <w:highlight w:val="none"/>
        </w:rPr>
        <w:t xml:space="preserve"> hyperactivity/inattention predicted gaming (β = 0.137) and </w:t>
      </w:r>
      <w:r>
        <w:rPr>
          <w:rFonts w:hint="eastAsia" w:eastAsia="宋体"/>
          <w:highlight w:val="none"/>
          <w:lang w:eastAsia="zh-CN"/>
        </w:rPr>
        <w:t>social media use</w:t>
      </w:r>
      <w:r>
        <w:rPr>
          <w:rFonts w:hint="eastAsia"/>
          <w:highlight w:val="none"/>
        </w:rPr>
        <w:t xml:space="preserve"> (β = 0.112), while conduct problems predicted both </w:t>
      </w:r>
      <w:r>
        <w:rPr>
          <w:rFonts w:hint="eastAsia" w:eastAsia="宋体"/>
          <w:highlight w:val="none"/>
          <w:lang w:eastAsia="zh-CN"/>
        </w:rPr>
        <w:t>social media use</w:t>
      </w:r>
      <w:r>
        <w:rPr>
          <w:rFonts w:hint="eastAsia"/>
          <w:highlight w:val="none"/>
        </w:rPr>
        <w:t xml:space="preserve"> (β = 0.080) and gaming (β = 0.060). The MCS results broadened the SEARCH pattern: emotional distress was the strongest net source in SEARCH, while MCS identified both internalising and externalising net source positions, led by hyperactivity/inattention. Across both cohorts, the core ordering was consistent: screen-related behaviours did not occupy leading net source positions, with problematic digital use showing no significant net directionality in SEARCH and </w:t>
      </w:r>
      <w:r>
        <w:rPr>
          <w:rFonts w:hint="eastAsia" w:eastAsia="宋体"/>
          <w:highlight w:val="none"/>
          <w:lang w:eastAsia="zh-CN"/>
        </w:rPr>
        <w:t>social media use</w:t>
      </w:r>
      <w:r>
        <w:rPr>
          <w:rFonts w:hint="eastAsia"/>
          <w:highlight w:val="none"/>
        </w:rPr>
        <w:t xml:space="preserve"> and gaming occupying net sink positions in MCS.</w:t>
      </w:r>
    </w:p>
    <w:p w14:paraId="0A08A6D1">
      <w:pPr>
        <w:rPr>
          <w:rFonts w:hint="eastAsia" w:eastAsia="宋体"/>
          <w:highlight w:val="none"/>
          <w:lang w:eastAsia="zh-CN"/>
        </w:rPr>
      </w:pPr>
      <w:r>
        <w:rPr>
          <w:rFonts w:hint="eastAsia" w:eastAsia="宋体"/>
          <w:highlight w:val="none"/>
          <w:lang w:eastAsia="zh-CN"/>
        </w:rPr>
        <w:drawing>
          <wp:inline distT="0" distB="0" distL="114300" distR="114300">
            <wp:extent cx="5843270" cy="2715895"/>
            <wp:effectExtent l="0" t="0" r="11430" b="1905"/>
            <wp:docPr id="1" name="图片 1" descr="Figure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Figure_2"/>
                    <pic:cNvPicPr>
                      <a:picLocks noChangeAspect="1"/>
                    </pic:cNvPicPr>
                  </pic:nvPicPr>
                  <pic:blipFill>
                    <a:blip r:embed="rId9"/>
                    <a:stretch>
                      <a:fillRect/>
                    </a:stretch>
                  </pic:blipFill>
                  <pic:spPr>
                    <a:xfrm>
                      <a:off x="0" y="0"/>
                      <a:ext cx="5843270" cy="2715895"/>
                    </a:xfrm>
                    <a:prstGeom prst="rect">
                      <a:avLst/>
                    </a:prstGeom>
                  </pic:spPr>
                </pic:pic>
              </a:graphicData>
            </a:graphic>
          </wp:inline>
        </w:drawing>
      </w:r>
    </w:p>
    <w:p w14:paraId="5DBC1FE4">
      <w:pPr>
        <w:pStyle w:val="165"/>
        <w:keepLines/>
        <w:rPr>
          <w:rFonts w:hint="eastAsia" w:eastAsia="宋体"/>
          <w:highlight w:val="none"/>
          <w:lang w:val="en-US" w:eastAsia="zh-CN"/>
        </w:rPr>
      </w:pPr>
      <w:r>
        <w:rPr>
          <w:rFonts w:hint="eastAsia"/>
          <w:b/>
          <w:bCs/>
          <w:highlight w:val="none"/>
        </w:rPr>
        <w:t>Figure 2</w:t>
      </w:r>
      <w:r>
        <w:rPr>
          <w:rFonts w:hint="eastAsia"/>
          <w:highlight w:val="none"/>
        </w:rPr>
        <w:t xml:space="preserve"> | Longitudinal directionality in the UK Millennium Cohort Study. (a) </w:t>
      </w:r>
      <w:r>
        <w:rPr>
          <w:rFonts w:hint="eastAsia" w:eastAsia="宋体"/>
          <w:highlight w:val="none"/>
          <w:lang w:eastAsia="zh-CN"/>
        </w:rPr>
        <w:t>CLPN net directionality</w:t>
      </w:r>
      <w:r>
        <w:rPr>
          <w:rFonts w:hint="eastAsia"/>
          <w:highlight w:val="none"/>
        </w:rPr>
        <w:t xml:space="preserve"> from age 14 to age 17, calculated as absolute cross-lagged out-strength minus in-strength, with 95% bootstrap confidence intervals. Positive values indicate a stronger balance of outgoing over incoming prediction. (b) Directed temporal network showing cross-lagged paths with |β| ≥ 0.05; this display threshold was used for visual clarity and does not denote statistical significance. Red and blue edges indicate positive and negative coefficients, respectively. (c) Cross-cohort comparison of CLPN net directionality for psychological and screen-related domains. SEARCH uses DASS-21 for emotional distress and CIAS-R for generalised problematic digital use; MCS uses self-reported internalising distress and direct measures of </w:t>
      </w:r>
      <w:r>
        <w:rPr>
          <w:rFonts w:hint="eastAsia" w:eastAsia="宋体"/>
          <w:highlight w:val="none"/>
          <w:lang w:eastAsia="zh-CN"/>
        </w:rPr>
        <w:t>social media use</w:t>
      </w:r>
      <w:r>
        <w:rPr>
          <w:rFonts w:hint="eastAsia"/>
          <w:highlight w:val="none"/>
        </w:rPr>
        <w:t xml:space="preserve"> and gaming.</w:t>
      </w:r>
      <w:r>
        <w:rPr>
          <w:rFonts w:hint="eastAsia" w:eastAsia="宋体"/>
          <w:highlight w:val="none"/>
          <w:lang w:val="en-US" w:eastAsia="zh-CN"/>
        </w:rPr>
        <w:t xml:space="preserve"> </w:t>
      </w:r>
      <w:r>
        <w:rPr>
          <w:rFonts w:hint="eastAsia"/>
          <w:highlight w:val="none"/>
        </w:rPr>
        <w:t>N = 9,520 linked across ages 14 and 17; n = 7,838 complete cases included in the cross-lagged analysis.</w:t>
      </w:r>
    </w:p>
    <w:p w14:paraId="7169CE88">
      <w:pPr>
        <w:pStyle w:val="5"/>
        <w:keepNext/>
        <w:rPr>
          <w:highlight w:val="none"/>
        </w:rPr>
      </w:pPr>
      <w:r>
        <w:rPr>
          <w:highlight w:val="none"/>
        </w:rPr>
        <w:t>Static structural control differs from temporal prediction</w:t>
      </w:r>
    </w:p>
    <w:p w14:paraId="65F380AE">
      <w:pPr>
        <w:rPr>
          <w:rFonts w:hint="eastAsia"/>
          <w:highlight w:val="none"/>
        </w:rPr>
      </w:pPr>
      <w:r>
        <w:rPr>
          <w:rFonts w:hint="eastAsia"/>
          <w:highlight w:val="none"/>
        </w:rPr>
        <w:t>The longitudinal analyses in SEARCH and MCS placed screen-related behaviours outside the leading CLPN net source positions. We next examined the baseline SEARCH network to identify item-level structural-control positions. The network contained 104 items connected by 2,777 non-zero edges (density = 0.518, modularity = 0.443, global efficiency = 0.759). Despite the dense interconnection, ten equivalent MDS solutions were identified, each comprising three nodes whose immediate neighbourhoods covered the remaining network. Across these solutions, the most recurrent control nodes were DIET22 (worry about eating too much; control frequency = 0.60), SDQ18 (often lies or cheats; 0.50) and DASS14 (intolerance of interruption; 0.40; Fig. 3). The leading control positions arose from diet, behavioural and emotional symptoms. No CIAS item ranked among the three highest-frequency control nodes.</w:t>
      </w:r>
      <w:r>
        <w:rPr>
          <w:rFonts w:hint="eastAsia" w:eastAsia="宋体"/>
          <w:highlight w:val="none"/>
          <w:lang w:val="en-US" w:eastAsia="zh-CN"/>
        </w:rPr>
        <w:t xml:space="preserve"> </w:t>
      </w:r>
      <w:r>
        <w:rPr>
          <w:rFonts w:hint="eastAsia"/>
          <w:highlight w:val="none"/>
        </w:rPr>
        <w:t>These structural-control nodes were not the most highly connected symptoms</w:t>
      </w:r>
      <w:r>
        <w:rPr>
          <w:rFonts w:hint="eastAsia" w:eastAsia="宋体"/>
          <w:highlight w:val="none"/>
          <w:lang w:val="en-US" w:eastAsia="zh-CN"/>
        </w:rPr>
        <w:t>:</w:t>
      </w:r>
      <w:r>
        <w:rPr>
          <w:rFonts w:hint="eastAsia"/>
          <w:highlight w:val="none"/>
        </w:rPr>
        <w:t xml:space="preserve"> control frequency correlated only weakly with node strength (Spearman ρ = 0.061) and loaded on a separate component from conventional centrality measures (Supplementary Fig. S15 and Table S10). Structural coverage and network connectedness identified distinct symptom roles.</w:t>
      </w:r>
    </w:p>
    <w:p w14:paraId="6A88DDA7">
      <w:pPr>
        <w:rPr>
          <w:rFonts w:hint="eastAsia"/>
          <w:highlight w:val="none"/>
        </w:rPr>
      </w:pPr>
      <w:r>
        <w:rPr>
          <w:rFonts w:hint="eastAsia"/>
          <w:highlight w:val="none"/>
        </w:rPr>
        <w:t>Null-model analyses showed that the distinctive finding concerned control-node identity, not MDS size. A three-node minimum set was compatible with the network</w:t>
      </w:r>
      <w:r>
        <w:rPr>
          <w:rFonts w:hint="default" w:eastAsia="宋体"/>
          <w:highlight w:val="none"/>
          <w:lang w:val="en-US" w:eastAsia="zh-CN"/>
        </w:rPr>
        <w:t>’</w:t>
      </w:r>
      <w:r>
        <w:rPr>
          <w:rFonts w:hint="eastAsia"/>
          <w:highlight w:val="none"/>
        </w:rPr>
        <w:t>s degree sequence and was not itself exceptional. DIET22, SDQ18 and DASS14 nevertheless entered the observed solutions more frequently than expected from their node-specific null domination frequencies of 0.186, 0.252 and 0.246, respectively (Supplementary Fig. S19). The exact solution remained sensitive to network estimation. Sparser EBIC graphical lasso networks produced five- or six-node MDS solutions and altered membership rankings. The primary cross-validated network retained the three-node solution</w:t>
      </w:r>
      <w:r>
        <w:rPr>
          <w:rFonts w:hint="eastAsia" w:eastAsia="宋体"/>
          <w:highlight w:val="none"/>
          <w:lang w:val="en-US" w:eastAsia="zh-CN"/>
        </w:rPr>
        <w:t xml:space="preserve"> </w:t>
      </w:r>
      <w:r>
        <w:rPr>
          <w:rFonts w:hint="eastAsia"/>
          <w:highlight w:val="none"/>
        </w:rPr>
        <w:t>(Supplementary Table S17 and Fig. S20).</w:t>
      </w:r>
    </w:p>
    <w:p w14:paraId="3C6D60BB">
      <w:pPr>
        <w:rPr>
          <w:rFonts w:hint="eastAsia"/>
          <w:highlight w:val="none"/>
        </w:rPr>
      </w:pPr>
      <w:r>
        <w:rPr>
          <w:rFonts w:hint="eastAsia"/>
          <w:highlight w:val="none"/>
        </w:rPr>
        <w:t>At the broader domain level, diet and broad SDQ difficulties occupied the strongest structural-control positions, emotional distress and problematic digital use formed an intermediate layer, and physical activity and insomnia occupied the weakest positions. This static architecture did not reproduce the longitudinal hierarchy. Emotional distress held an intermediate structural position but occupied the strongest CLPN net source position. Problematic digital use remained intermediate in the static network and showed no significant CLPN net directionality</w:t>
      </w:r>
      <w:r>
        <w:rPr>
          <w:rFonts w:hint="eastAsia" w:eastAsia="宋体"/>
          <w:highlight w:val="none"/>
          <w:lang w:val="en-US" w:eastAsia="zh-CN"/>
        </w:rPr>
        <w:t>.</w:t>
      </w:r>
      <w:r>
        <w:rPr>
          <w:rFonts w:hint="eastAsia"/>
          <w:highlight w:val="none"/>
        </w:rPr>
        <w:t xml:space="preserve"> Static structural leverage and CLPN net directionality captured different dimensions of the symptom system.</w:t>
      </w:r>
    </w:p>
    <w:p w14:paraId="60D119E2">
      <w:pPr>
        <w:rPr>
          <w:rFonts w:hint="eastAsia"/>
          <w:highlight w:val="none"/>
        </w:rPr>
      </w:pPr>
      <w:r>
        <w:rPr>
          <w:rFonts w:hint="eastAsia"/>
          <w:highlight w:val="none"/>
        </w:rPr>
        <w:t>The broader six-domain architecture remained highly stable across complementary robustness checks. Six community-detection algorithms recovered the same domain organisation (adjusted Rand index, 0.61 to 0.73; normalised mutual information, 0.78 to 0.84), with the Leiden algorithm returning exactly six communities</w:t>
      </w:r>
      <w:r>
        <w:rPr>
          <w:rFonts w:hint="eastAsia" w:eastAsia="宋体"/>
          <w:highlight w:val="none"/>
          <w:vertAlign w:val="superscript"/>
          <w:lang w:val="en-US" w:eastAsia="zh-CN"/>
        </w:rPr>
        <w:t>31</w:t>
      </w:r>
      <w:r>
        <w:rPr>
          <w:rFonts w:hint="eastAsia"/>
          <w:highlight w:val="none"/>
        </w:rPr>
        <w:t>. Among the 89 items that could be compared across waves, community agreement remained high (adjusted Rand index = 0.86), with only eight items changing community. Bridge centrality and structural-control frequency also identified different nodes</w:t>
      </w:r>
      <w:r>
        <w:rPr>
          <w:rFonts w:hint="eastAsia" w:eastAsia="宋体"/>
          <w:highlight w:val="none"/>
          <w:vertAlign w:val="superscript"/>
          <w:lang w:val="en-US" w:eastAsia="zh-CN"/>
        </w:rPr>
        <w:t>32</w:t>
      </w:r>
      <w:r>
        <w:rPr>
          <w:rFonts w:hint="eastAsia"/>
          <w:highlight w:val="none"/>
        </w:rPr>
        <w:t>, reinforcing the distinction between symptoms that connect domains and those that govern coverage of the wider network. Together, these findings support the stability of the six-domain architecture and its distinct structural-control dimension, while localising estimator sensitivity to the membership of individual MDS solutions.</w:t>
      </w:r>
    </w:p>
    <w:p w14:paraId="3CA85840">
      <w:pPr>
        <w:jc w:val="center"/>
        <w:rPr>
          <w:rFonts w:hint="eastAsia" w:eastAsia="宋体"/>
          <w:highlight w:val="none"/>
          <w:lang w:eastAsia="zh-CN"/>
        </w:rPr>
      </w:pPr>
      <w:r>
        <w:rPr>
          <w:rFonts w:hint="eastAsia" w:eastAsia="宋体"/>
          <w:highlight w:val="none"/>
          <w:lang w:eastAsia="zh-CN"/>
        </w:rPr>
        <w:drawing>
          <wp:inline distT="0" distB="0" distL="114300" distR="114300">
            <wp:extent cx="5626735" cy="2569210"/>
            <wp:effectExtent l="0" t="0" r="12065" b="8890"/>
            <wp:docPr id="8" name="图片 8" descr="Figure_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Figure_3"/>
                    <pic:cNvPicPr>
                      <a:picLocks noChangeAspect="1"/>
                    </pic:cNvPicPr>
                  </pic:nvPicPr>
                  <pic:blipFill>
                    <a:blip r:embed="rId10"/>
                    <a:stretch>
                      <a:fillRect/>
                    </a:stretch>
                  </pic:blipFill>
                  <pic:spPr>
                    <a:xfrm>
                      <a:off x="0" y="0"/>
                      <a:ext cx="5626735" cy="2569210"/>
                    </a:xfrm>
                    <a:prstGeom prst="rect">
                      <a:avLst/>
                    </a:prstGeom>
                  </pic:spPr>
                </pic:pic>
              </a:graphicData>
            </a:graphic>
          </wp:inline>
        </w:drawing>
      </w:r>
    </w:p>
    <w:p w14:paraId="780E4E90">
      <w:pPr>
        <w:pStyle w:val="165"/>
        <w:keepLines/>
        <w:rPr>
          <w:rFonts w:hint="eastAsia" w:eastAsia="宋体"/>
          <w:highlight w:val="none"/>
          <w:lang w:val="en-US" w:eastAsia="zh-CN"/>
        </w:rPr>
      </w:pPr>
      <w:r>
        <w:rPr>
          <w:b/>
          <w:highlight w:val="none"/>
        </w:rPr>
        <w:t xml:space="preserve">Figure 3 | </w:t>
      </w:r>
      <w:r>
        <w:rPr>
          <w:highlight w:val="none"/>
        </w:rPr>
        <w:t xml:space="preserve">Baseline structural network and structural-control profile in SEARCH. (a) Gaussian graphical model showing the 500 largest edges; node colour denotes domain, node size denotes strength and rings identify the three highest control-frequency nodes. (b) Node strength versus control frequency. (c) </w:t>
      </w:r>
      <w:r>
        <w:rPr>
          <w:rFonts w:hint="eastAsia"/>
          <w:highlight w:val="none"/>
        </w:rPr>
        <w:t>Average module control strength (AMCS) across the six domains</w:t>
      </w:r>
      <w:r>
        <w:rPr>
          <w:highlight w:val="none"/>
        </w:rPr>
        <w:t xml:space="preserve">. </w:t>
      </w:r>
      <w:r>
        <w:rPr>
          <w:rFonts w:hint="eastAsia"/>
          <w:highlight w:val="none"/>
        </w:rPr>
        <w:t>Structural-control quantities describe the topology of the baseline undirected graph.</w:t>
      </w:r>
      <w:r>
        <w:rPr>
          <w:highlight w:val="none"/>
        </w:rPr>
        <w:t xml:space="preserve"> N = 10,356.</w:t>
      </w:r>
      <w:r>
        <w:rPr>
          <w:rFonts w:hint="eastAsia" w:eastAsia="宋体"/>
          <w:highlight w:val="none"/>
          <w:lang w:val="en-US" w:eastAsia="zh-CN"/>
        </w:rPr>
        <w:t xml:space="preserve"> All analyses used the full estimated network.</w:t>
      </w:r>
    </w:p>
    <w:p w14:paraId="616069FF">
      <w:pPr>
        <w:pStyle w:val="5"/>
        <w:keepNext/>
        <w:rPr>
          <w:rFonts w:hint="default" w:eastAsia="宋体"/>
          <w:highlight w:val="none"/>
          <w:lang w:val="en-US" w:eastAsia="zh-CN"/>
        </w:rPr>
      </w:pPr>
      <w:r>
        <w:rPr>
          <w:rFonts w:hint="eastAsia"/>
          <w:highlight w:val="none"/>
        </w:rPr>
        <w:t>Bayesian and CLPN rankings partially align</w:t>
      </w:r>
    </w:p>
    <w:p w14:paraId="30441247">
      <w:pPr>
        <w:rPr>
          <w:rFonts w:hint="eastAsia"/>
          <w:highlight w:val="none"/>
        </w:rPr>
      </w:pPr>
      <w:r>
        <w:rPr>
          <w:rFonts w:hint="eastAsia"/>
          <w:highlight w:val="none"/>
        </w:rPr>
        <w:t>An exploratory Bayesian directed acyclic graph fitted to the six Wave 1 SEARCH domain scores was used to compare Bayesian net out-degree with CLPN ordering. DASS had the highest net out-degree (+2), with outgoing edges to SDQ, CIAS and DIET. By contrast, CIAS had balanced in- and out-degree, while DIET had the most negative Bayesian net out-degree (−2; Fig. 4). The most stable directed edges were CIAS→ACT (bootstrap frequency = 0.970), DASS→SDQ (0.910), CIAS→DIET (0.905), DASS→DIET (0.855) and DASS→CIAS (0.850). Three of these five leading edges originated from DASS.</w:t>
      </w:r>
    </w:p>
    <w:p w14:paraId="3A12BB99">
      <w:pPr>
        <w:rPr>
          <w:rFonts w:hint="eastAsia"/>
          <w:highlight w:val="none"/>
        </w:rPr>
      </w:pPr>
      <w:r>
        <w:rPr>
          <w:rFonts w:hint="eastAsia"/>
          <w:highlight w:val="none"/>
        </w:rPr>
        <w:t>Across the six domains, Bayesian net out-degree was positively correlated with CLPN net directionality, although the estimate was imprecise (Pearson r = 0.750, two-sided P = 0.086; bootstrap 95% CI −0.604 to 0.995). DASS had</w:t>
      </w:r>
      <w:r>
        <w:rPr>
          <w:rFonts w:hint="eastAsia" w:eastAsia="宋体"/>
          <w:highlight w:val="none"/>
          <w:lang w:val="en-US" w:eastAsia="zh-CN"/>
        </w:rPr>
        <w:t xml:space="preserve"> a</w:t>
      </w:r>
      <w:r>
        <w:rPr>
          <w:rFonts w:hint="eastAsia"/>
          <w:highlight w:val="none"/>
        </w:rPr>
        <w:t xml:space="preserve"> positive Bayesian net out-degree and occupied the strongest CLPN net source position. All seven skeleton edges were reversible in the CPDAG (Supplementary Tables S15–S16). These results show partial correspondence in domain ordering between the Bayesian and CLPN models.</w:t>
      </w:r>
    </w:p>
    <w:p w14:paraId="1BEFD434">
      <w:pPr>
        <w:rPr>
          <w:rFonts w:hint="eastAsia" w:eastAsia="宋体"/>
          <w:highlight w:val="none"/>
          <w:lang w:eastAsia="zh-CN"/>
        </w:rPr>
      </w:pPr>
      <w:r>
        <w:rPr>
          <w:rFonts w:hint="eastAsia" w:eastAsia="宋体"/>
          <w:highlight w:val="none"/>
          <w:lang w:eastAsia="zh-CN"/>
        </w:rPr>
        <w:drawing>
          <wp:inline distT="0" distB="0" distL="114300" distR="114300">
            <wp:extent cx="5797550" cy="2825750"/>
            <wp:effectExtent l="0" t="0" r="6350" b="6350"/>
            <wp:docPr id="9" name="图片 9" descr="Figure_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Figure_4"/>
                    <pic:cNvPicPr>
                      <a:picLocks noChangeAspect="1"/>
                    </pic:cNvPicPr>
                  </pic:nvPicPr>
                  <pic:blipFill>
                    <a:blip r:embed="rId11"/>
                    <a:stretch>
                      <a:fillRect/>
                    </a:stretch>
                  </pic:blipFill>
                  <pic:spPr>
                    <a:xfrm>
                      <a:off x="0" y="0"/>
                      <a:ext cx="5797550" cy="2825750"/>
                    </a:xfrm>
                    <a:prstGeom prst="rect">
                      <a:avLst/>
                    </a:prstGeom>
                  </pic:spPr>
                </pic:pic>
              </a:graphicData>
            </a:graphic>
          </wp:inline>
        </w:drawing>
      </w:r>
    </w:p>
    <w:p w14:paraId="51685B71">
      <w:pPr>
        <w:pStyle w:val="165"/>
        <w:keepLines/>
        <w:rPr>
          <w:rFonts w:hint="eastAsia"/>
          <w:highlight w:val="none"/>
        </w:rPr>
      </w:pPr>
      <w:r>
        <w:rPr>
          <w:rFonts w:hint="eastAsia"/>
          <w:b/>
          <w:bCs/>
          <w:highlight w:val="none"/>
        </w:rPr>
        <w:t>Figure 4</w:t>
      </w:r>
      <w:r>
        <w:rPr>
          <w:rFonts w:hint="eastAsia"/>
          <w:highlight w:val="none"/>
        </w:rPr>
        <w:t xml:space="preserve"> | Exploratory Bayesian net out-degree and CLPN net directionality in SEARCH. (a) Exploratory Bayesian directed acyclic graph learned from tertile-discretised baseline domain scores; edge width denotes bootstrap stability. (b) Bootstrap frequencies of the eight most stable directed edges. (c) Association between Bayesian net out-degree and longitudinal cross-lagged panel network net directionality across the six SEARCH domains. CIAS, generalised problematic digital use; DASS, emotional distress; SDQ, broad difficulties; DIET, diet; ISI, insomnia; ACT, physical activity; DAG, directed acyclic graph; CLPN, cross-lagged panel network. N = 6,092 for both the baseline DAG and the longitudinal CLPN; panel c contains six paired domain-level estimates.</w:t>
      </w:r>
    </w:p>
    <w:p w14:paraId="5150652D">
      <w:pPr>
        <w:pStyle w:val="5"/>
        <w:keepNext/>
        <w:rPr>
          <w:highlight w:val="none"/>
        </w:rPr>
      </w:pPr>
      <w:r>
        <w:rPr>
          <w:rFonts w:hint="eastAsia"/>
          <w:highlight w:val="none"/>
        </w:rPr>
        <w:t>Emotion ranks highest in network strength</w:t>
      </w:r>
      <w:r>
        <w:rPr>
          <w:rFonts w:hint="eastAsia" w:eastAsia="宋体"/>
          <w:highlight w:val="none"/>
          <w:lang w:val="en-US" w:eastAsia="zh-CN"/>
        </w:rPr>
        <w:t xml:space="preserve"> </w:t>
      </w:r>
      <w:r>
        <w:rPr>
          <w:rFonts w:hint="eastAsia"/>
          <w:highlight w:val="none"/>
        </w:rPr>
        <w:t>in GMP</w:t>
      </w:r>
    </w:p>
    <w:p w14:paraId="7FE38CE5">
      <w:pPr>
        <w:rPr>
          <w:rFonts w:hint="eastAsia" w:eastAsia="宋体"/>
          <w:highlight w:val="none"/>
          <w:lang w:val="en-US" w:eastAsia="zh-CN"/>
        </w:rPr>
      </w:pPr>
      <w:r>
        <w:rPr>
          <w:rFonts w:hint="eastAsia" w:eastAsia="宋体"/>
          <w:highlight w:val="none"/>
          <w:lang w:val="en-US" w:eastAsia="zh-CN"/>
        </w:rPr>
        <w:t>W</w:t>
      </w:r>
      <w:r>
        <w:rPr>
          <w:rFonts w:hint="eastAsia"/>
          <w:highlight w:val="none"/>
        </w:rPr>
        <w:t>e examined whether the emotional prominence identified in SEARCH held under a different measurement system and across a much broader population. The Global Mind Project (GMP) analysis included 147,506 participants aged 18–24 years with complete data across six mapped domains from a pooled multinational sample. Emotion had the highest undirected network strength (0.726, 95% CI 0.714 to 0.738). It was followed by diet (0.504, 95% CI 0.493 to 0.515), activity (0.444, 95% CI 0.434 to 0.455), broad behavioural difficulties (0.409, 95% CI 0.396 to 0.424) and sleep (0.409, 95% CI 0.401 to 0.420). At the opposite end of the network, the social-media-frequency proxy had the lowest strength (0.075, 95% CI 0.065 to 0.085; Fig. 5), placing social-media frequency at the periphery of the mapped health system.</w:t>
      </w:r>
      <w:r>
        <w:rPr>
          <w:rFonts w:hint="eastAsia" w:eastAsia="宋体"/>
          <w:highlight w:val="none"/>
          <w:lang w:val="en-US" w:eastAsia="zh-CN"/>
        </w:rPr>
        <w:t xml:space="preserve"> </w:t>
      </w:r>
    </w:p>
    <w:p w14:paraId="714298D6">
      <w:pPr>
        <w:rPr>
          <w:rFonts w:hint="eastAsia" w:eastAsia="宋体"/>
          <w:highlight w:val="none"/>
          <w:lang w:val="en-US" w:eastAsia="zh-CN"/>
        </w:rPr>
      </w:pPr>
      <w:r>
        <w:rPr>
          <w:rFonts w:hint="eastAsia" w:eastAsia="宋体"/>
          <w:highlight w:val="none"/>
          <w:lang w:val="en-US" w:eastAsia="zh-CN"/>
        </w:rPr>
        <w:t>For the construct-level comparison, a corresponding six-domain SEARCH network was derived from the baseline domain scores. After conventional undirected strength was normalised within each of these separate six-domain comparison networks, emotion ranked first in both SEARCH and GMP. In SEARCH, emotion was followed by generalised problematic digital use, insomnia, broad SDQ difficulties, diet and physical activity. Social media frequency was the weakest domain in GMP (Fig. 5b). This descriptive strength comparison was distinct from the item-level structural-control analysis reported above.</w:t>
      </w:r>
    </w:p>
    <w:p w14:paraId="7008060E">
      <w:pPr>
        <w:rPr>
          <w:rFonts w:hint="eastAsia"/>
          <w:highlight w:val="none"/>
        </w:rPr>
      </w:pPr>
      <w:r>
        <w:rPr>
          <w:rFonts w:hint="eastAsia"/>
          <w:highlight w:val="none"/>
        </w:rPr>
        <w:t>Across these distinct populations and analytical frameworks, emotional difficulties remained prominent, while screen-related measures occupied less prominent positions.</w:t>
      </w:r>
    </w:p>
    <w:p w14:paraId="6B2BABA3">
      <w:pPr>
        <w:jc w:val="center"/>
        <w:rPr>
          <w:rFonts w:hint="eastAsia" w:eastAsia="宋体"/>
          <w:highlight w:val="none"/>
          <w:lang w:eastAsia="zh-CN"/>
        </w:rPr>
      </w:pPr>
      <w:r>
        <w:rPr>
          <w:rFonts w:hint="eastAsia" w:eastAsia="宋体"/>
          <w:highlight w:val="none"/>
          <w:lang w:eastAsia="zh-CN"/>
        </w:rPr>
        <w:drawing>
          <wp:inline distT="0" distB="0" distL="114300" distR="114300">
            <wp:extent cx="5507990" cy="2944495"/>
            <wp:effectExtent l="0" t="0" r="3810" b="1905"/>
            <wp:docPr id="10" name="图片 10" descr="Figure_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Figure_5"/>
                    <pic:cNvPicPr>
                      <a:picLocks noChangeAspect="1"/>
                    </pic:cNvPicPr>
                  </pic:nvPicPr>
                  <pic:blipFill>
                    <a:blip r:embed="rId12"/>
                    <a:stretch>
                      <a:fillRect/>
                    </a:stretch>
                  </pic:blipFill>
                  <pic:spPr>
                    <a:xfrm>
                      <a:off x="0" y="0"/>
                      <a:ext cx="5507990" cy="2944495"/>
                    </a:xfrm>
                    <a:prstGeom prst="rect">
                      <a:avLst/>
                    </a:prstGeom>
                  </pic:spPr>
                </pic:pic>
              </a:graphicData>
            </a:graphic>
          </wp:inline>
        </w:drawing>
      </w:r>
    </w:p>
    <w:p w14:paraId="47D1362E">
      <w:pPr>
        <w:pStyle w:val="165"/>
        <w:keepLines/>
        <w:rPr>
          <w:rFonts w:hint="eastAsia" w:eastAsia="宋体"/>
          <w:highlight w:val="none"/>
          <w:lang w:val="en-US" w:eastAsia="zh-CN"/>
        </w:rPr>
      </w:pPr>
      <w:r>
        <w:rPr>
          <w:b/>
          <w:highlight w:val="none"/>
        </w:rPr>
        <w:t xml:space="preserve">Figure 5 | </w:t>
      </w:r>
      <w:r>
        <w:rPr>
          <w:rFonts w:hint="eastAsia"/>
          <w:highlight w:val="none"/>
        </w:rPr>
        <w:t xml:space="preserve">Cross-sectional construct-level comparison in </w:t>
      </w:r>
      <w:r>
        <w:rPr>
          <w:rFonts w:hint="eastAsia" w:eastAsia="宋体"/>
          <w:highlight w:val="none"/>
          <w:lang w:val="en-US" w:eastAsia="zh-CN"/>
        </w:rPr>
        <w:t>GMP</w:t>
      </w:r>
      <w:r>
        <w:rPr>
          <w:rFonts w:hint="eastAsia"/>
          <w:highlight w:val="none"/>
        </w:rPr>
        <w:t>. (a) Six-domain Gaussian graphical model in young adults; node size denotes domain strength. (b) Within-cohort normalised domain strength in the six-domain GMP network and a corresponding six-domain network derived from aggregated baseline SEARCH scores. Domain strengths were divided by the maximum strength within each cohort, so that the strongest domain was assigned a value of 1. (c) GMP domain strength with 95% bootstrap confidence intervals. In GMP, the screen-related domain was represented by social media frequency.</w:t>
      </w:r>
      <w:r>
        <w:rPr>
          <w:rFonts w:hint="eastAsia" w:eastAsia="宋体"/>
          <w:highlight w:val="none"/>
          <w:lang w:val="en-US" w:eastAsia="zh-CN"/>
        </w:rPr>
        <w:t xml:space="preserve"> </w:t>
      </w:r>
      <w:r>
        <w:rPr>
          <w:rFonts w:hint="eastAsia"/>
          <w:highlight w:val="none"/>
        </w:rPr>
        <w:t>Emotion had the highest network strength in GMP. N = 147,506 participants aged 18–24 years</w:t>
      </w:r>
      <w:r>
        <w:rPr>
          <w:rFonts w:hint="eastAsia" w:eastAsia="宋体"/>
          <w:highlight w:val="none"/>
          <w:lang w:val="en-US" w:eastAsia="zh-CN"/>
        </w:rPr>
        <w:t xml:space="preserve"> </w:t>
      </w:r>
      <w:r>
        <w:rPr>
          <w:rFonts w:hint="eastAsia"/>
          <w:highlight w:val="none"/>
        </w:rPr>
        <w:t>in the pooled multinational GMP sample.</w:t>
      </w:r>
      <w:r>
        <w:rPr>
          <w:rFonts w:hint="eastAsia" w:eastAsia="宋体"/>
          <w:highlight w:val="none"/>
          <w:lang w:val="en-US" w:eastAsia="zh-CN"/>
        </w:rPr>
        <w:t xml:space="preserve"> BEH, broad behavioural difficulties; SM, social-media frequency.</w:t>
      </w:r>
    </w:p>
    <w:p w14:paraId="23B0B24A">
      <w:pPr>
        <w:pStyle w:val="3"/>
        <w:keepNext/>
        <w:rPr>
          <w:highlight w:val="none"/>
        </w:rPr>
      </w:pPr>
      <w:r>
        <w:rPr>
          <w:highlight w:val="none"/>
        </w:rPr>
        <w:t>Discussion</w:t>
      </w:r>
    </w:p>
    <w:p w14:paraId="6F422483">
      <w:pPr>
        <w:rPr>
          <w:rFonts w:hint="eastAsia"/>
          <w:highlight w:val="none"/>
        </w:rPr>
      </w:pPr>
      <w:r>
        <w:rPr>
          <w:rFonts w:hint="eastAsia"/>
          <w:highlight w:val="none"/>
        </w:rPr>
        <w:t xml:space="preserve">Across both cohorts, broader emotional and behavioural difficulties were the leading longitudinal predictors; screen-related measures did not occupy leading net source positions. In SEARCH, emotional distress had the largest positive CLPN net directionality and predicted later change in generalised problematic digital use, insomnia, broad SDQ difficulties and diet; problematic digital use itself had no significant net directionality. In MCS, directly measured social media use was the strongest net sink and gaming also occupied a net sink position. The net source positions included hyperactivity/inattention, internalising distress and conduct problems, extending beyond emotional distress alone. Across cohorts, broader psychological difficulties occupied the leading net source positions, although the specific domains differed. Problematic digital use, </w:t>
      </w:r>
      <w:r>
        <w:rPr>
          <w:rFonts w:hint="eastAsia" w:eastAsia="宋体"/>
          <w:highlight w:val="none"/>
          <w:lang w:eastAsia="zh-CN"/>
        </w:rPr>
        <w:t>social media use</w:t>
      </w:r>
      <w:r>
        <w:rPr>
          <w:rFonts w:hint="eastAsia"/>
          <w:highlight w:val="none"/>
        </w:rPr>
        <w:t xml:space="preserve"> and gaming did not occupy leading CLPN net source positions when analysed within broader psychological systems.</w:t>
      </w:r>
    </w:p>
    <w:p w14:paraId="255EF970">
      <w:pPr>
        <w:rPr>
          <w:rFonts w:hint="eastAsia"/>
          <w:highlight w:val="none"/>
        </w:rPr>
      </w:pPr>
      <w:r>
        <w:rPr>
          <w:rFonts w:hint="eastAsia"/>
          <w:highlight w:val="none"/>
        </w:rPr>
        <w:t>This distinction changes how associations between digital use and mental health should be interpreted. Elevated problematic digital-use scores mark clinically relevant functional impairment and warrant assessment in their own right. Their network position also places digital use within the accompanying symptom burden, outside the leading predictive position. In SEARCH, emotional distress occupied the strongest net source position; in MCS, externalising difficulties, especially hyperactivity/inattention, predicted later screen-related behaviour. Clinical and preventive assessment should therefore prioritise the emotional, attentional and conduct context of escalating digital engagement rather than assessing screen exposure in isolation. These estimates define prospective relations that can be tested in intervention and intensive longitudinal designs</w:t>
      </w:r>
      <w:r>
        <w:rPr>
          <w:rFonts w:hint="eastAsia" w:eastAsia="宋体"/>
          <w:highlight w:val="none"/>
          <w:vertAlign w:val="superscript"/>
          <w:lang w:val="en-US" w:eastAsia="zh-CN"/>
        </w:rPr>
        <w:t>25, 33-35</w:t>
      </w:r>
      <w:r>
        <w:rPr>
          <w:rFonts w:hint="eastAsia"/>
          <w:highlight w:val="none"/>
        </w:rPr>
        <w:t>.</w:t>
      </w:r>
    </w:p>
    <w:p w14:paraId="2C95E49D">
      <w:pPr>
        <w:rPr>
          <w:rFonts w:hint="eastAsia"/>
          <w:highlight w:val="none"/>
        </w:rPr>
      </w:pPr>
      <w:r>
        <w:rPr>
          <w:rFonts w:hint="eastAsia"/>
          <w:highlight w:val="none"/>
        </w:rPr>
        <w:t xml:space="preserve">The comparison of static and temporal models provides a second contribution. </w:t>
      </w:r>
      <w:r>
        <w:rPr>
          <w:rFonts w:hint="eastAsia" w:eastAsia="宋体"/>
          <w:highlight w:val="none"/>
          <w:lang w:eastAsia="zh-CN"/>
        </w:rPr>
        <w:t>MDS analysis identified diet, SDQ and emotional items whose neighbourhoods covered the baseline graph; the CLPN placed DASS in the strongest domain-level net source position.</w:t>
      </w:r>
      <w:r>
        <w:rPr>
          <w:rFonts w:hint="eastAsia"/>
          <w:highlight w:val="none"/>
        </w:rPr>
        <w:t xml:space="preserve"> Control frequency was only weakly related to node strength, and average module control strength did not reproduce </w:t>
      </w:r>
      <w:r>
        <w:rPr>
          <w:rFonts w:hint="eastAsia" w:eastAsia="宋体"/>
          <w:highlight w:val="none"/>
          <w:lang w:eastAsia="zh-CN"/>
        </w:rPr>
        <w:t>CLPN net directionality</w:t>
      </w:r>
      <w:r>
        <w:rPr>
          <w:rFonts w:hint="eastAsia"/>
          <w:highlight w:val="none"/>
        </w:rPr>
        <w:t>. Graph topology and longitudinal prediction identified different dimensions of the symptom system. Structural-control nodes should consequently be interpreted as features of an estimated cross-sectional graph, not as causal intervention targets. Their value lies in describing sparse coverage and architecture; temporal or causal prioritisation requires longitudinal or experimental evidence</w:t>
      </w:r>
      <w:r>
        <w:rPr>
          <w:rFonts w:hint="eastAsia" w:eastAsia="宋体"/>
          <w:highlight w:val="none"/>
          <w:vertAlign w:val="superscript"/>
          <w:lang w:val="en-US" w:eastAsia="zh-CN"/>
        </w:rPr>
        <w:t>20-25</w:t>
      </w:r>
      <w:r>
        <w:rPr>
          <w:rFonts w:hint="eastAsia"/>
          <w:highlight w:val="none"/>
        </w:rPr>
        <w:t>. In the exploratory Bayesian graph, DASS had the highest net out-degree, which was positively but imprecisely associated with CLPN net directionality across domains.</w:t>
      </w:r>
    </w:p>
    <w:p w14:paraId="10D4668B">
      <w:pPr>
        <w:rPr>
          <w:rFonts w:hint="eastAsia"/>
          <w:highlight w:val="none"/>
        </w:rPr>
      </w:pPr>
      <w:r>
        <w:rPr>
          <w:rFonts w:hint="eastAsia"/>
          <w:highlight w:val="none"/>
        </w:rPr>
        <w:t xml:space="preserve">The external analyses sharpen the construct boundary. SEARCH assessed generalised problematic internet and digital-media use through the CIAS-R, whereas MCS measured hours of </w:t>
      </w:r>
      <w:r>
        <w:rPr>
          <w:rFonts w:hint="eastAsia" w:eastAsia="宋体"/>
          <w:highlight w:val="none"/>
          <w:lang w:eastAsia="zh-CN"/>
        </w:rPr>
        <w:t>social media use</w:t>
      </w:r>
      <w:r>
        <w:rPr>
          <w:rFonts w:hint="eastAsia"/>
          <w:highlight w:val="none"/>
        </w:rPr>
        <w:t xml:space="preserve"> and gaming, and the Global Mind Project used social-media frequency. These measures provide construct-level convergence across related forms of digital use without implying instrument-level replication.</w:t>
      </w:r>
      <w:r>
        <w:rPr>
          <w:rFonts w:hint="eastAsia" w:eastAsia="宋体"/>
          <w:highlight w:val="none"/>
          <w:lang w:val="en-US" w:eastAsia="zh-CN"/>
        </w:rPr>
        <w:t xml:space="preserve"> </w:t>
      </w:r>
      <w:r>
        <w:rPr>
          <w:rFonts w:hint="eastAsia"/>
          <w:highlight w:val="none"/>
        </w:rPr>
        <w:t xml:space="preserve">The MCS variables provided the longitudinal exposure-based comparison: both </w:t>
      </w:r>
      <w:r>
        <w:rPr>
          <w:rFonts w:hint="eastAsia" w:eastAsia="宋体"/>
          <w:highlight w:val="none"/>
          <w:lang w:eastAsia="zh-CN"/>
        </w:rPr>
        <w:t>social media use</w:t>
      </w:r>
      <w:r>
        <w:rPr>
          <w:rFonts w:hint="eastAsia"/>
          <w:highlight w:val="none"/>
        </w:rPr>
        <w:t xml:space="preserve"> and gaming occupied net sink positions. The Global Mind Project provided a pooled multinational cross-sectional comparison: emotion had the highest network strength, whereas social-media frequency had the lowest. These findings distinguish impairment-oriented problematic use from exposure-oriented frequency: screen-related measures did not occupy leading CLPN net source positions and had relatively low cross-sectional network strength in GMP.</w:t>
      </w:r>
    </w:p>
    <w:p w14:paraId="73068F2D">
      <w:pPr>
        <w:rPr>
          <w:rFonts w:hint="eastAsia"/>
          <w:highlight w:val="none"/>
        </w:rPr>
      </w:pPr>
      <w:r>
        <w:rPr>
          <w:rFonts w:hint="eastAsia"/>
          <w:highlight w:val="none"/>
        </w:rPr>
        <w:t>Several properties of the data define the scope of inference. Because the SEARCH model used two waves and estimated between-person lagged prediction, it cannot separate stable person differences from within-person dynamics</w:t>
      </w:r>
      <w:r>
        <w:rPr>
          <w:rFonts w:hint="eastAsia" w:eastAsia="宋体"/>
          <w:highlight w:val="none"/>
          <w:vertAlign w:val="superscript"/>
          <w:lang w:val="en-US" w:eastAsia="zh-CN"/>
        </w:rPr>
        <w:t>36, 37</w:t>
      </w:r>
      <w:r>
        <w:rPr>
          <w:rFonts w:hint="eastAsia"/>
          <w:highlight w:val="none"/>
        </w:rPr>
        <w:t>. Linkage retained 6,092 of 10,356 baseline participants, and the retained sample had lower baseline symptom burden, which may attenuate or alter longitudinal estimates. The broad SDQ domain included emotional, conduct, hyperactivity, peer and reverse-scored prosocial items; DASS→SDQ paths therefore represent prediction of broad difficulties rather than conduct-specific change and partly span overlapping affective content. Diet response options changed between waves; wave-standardised domain scores and a five-domain sensitivity analysis addressed this change. MCS used different internalising instruments at ages 14 and 17, precluding scale-level invariance testing. Finally, the pooled Global Mind Project analysis does not estimate country-specific networks and remains cross-sectional.</w:t>
      </w:r>
    </w:p>
    <w:p w14:paraId="79508C0A">
      <w:pPr>
        <w:rPr>
          <w:highlight w:val="none"/>
        </w:rPr>
      </w:pPr>
      <w:r>
        <w:rPr>
          <w:rFonts w:hint="eastAsia"/>
          <w:highlight w:val="none"/>
        </w:rPr>
        <w:t xml:space="preserve">The evidence supports a predictive reframing of adolescent digital-use research. Screen-related measures remained outside the leading CLPN net source positions: problematic digital use showed no significant net directionality in SEARCH, while </w:t>
      </w:r>
      <w:r>
        <w:rPr>
          <w:rFonts w:hint="eastAsia" w:eastAsia="宋体"/>
          <w:highlight w:val="none"/>
          <w:lang w:eastAsia="zh-CN"/>
        </w:rPr>
        <w:t>social media use</w:t>
      </w:r>
      <w:r>
        <w:rPr>
          <w:rFonts w:hint="eastAsia"/>
          <w:highlight w:val="none"/>
        </w:rPr>
        <w:t xml:space="preserve"> and gaming occupied net sink positions in MCS. Emotional distress occupied the strongest net source position in SEARCH, while internalising and externalising difficulties occupied net source positions in MCS. Static network control identified a different set of topological features. Together, these findings position screen-related behaviours within the broader psychological context of adolescent mental health and support integrated assessment of digital engagement alongside emotional and behavioural difficulties.</w:t>
      </w:r>
    </w:p>
    <w:p w14:paraId="39573C8D">
      <w:pPr>
        <w:pStyle w:val="3"/>
        <w:keepNext/>
        <w:rPr>
          <w:highlight w:val="none"/>
        </w:rPr>
      </w:pPr>
      <w:r>
        <w:rPr>
          <w:highlight w:val="none"/>
        </w:rPr>
        <w:t>Methods</w:t>
      </w:r>
    </w:p>
    <w:p w14:paraId="22847992">
      <w:pPr>
        <w:pStyle w:val="5"/>
        <w:keepNext/>
        <w:rPr>
          <w:highlight w:val="none"/>
        </w:rPr>
      </w:pPr>
      <w:r>
        <w:rPr>
          <w:highlight w:val="none"/>
        </w:rPr>
        <w:t>Participants and study design</w:t>
      </w:r>
    </w:p>
    <w:p w14:paraId="5A2D41A8">
      <w:pPr>
        <w:rPr>
          <w:highlight w:val="none"/>
        </w:rPr>
      </w:pPr>
      <w:r>
        <w:rPr>
          <w:highlight w:val="none"/>
        </w:rPr>
        <w:t>Data came from the School-based Evaluation Advancing Response for Child Health (SEARCH), a mixed longitudinal school-based cohort conducted across 11 schools in three cities of Jiangsu Province, China</w:t>
      </w:r>
      <w:r>
        <w:rPr>
          <w:rFonts w:hint="eastAsia" w:eastAsia="宋体"/>
          <w:highlight w:val="none"/>
          <w:vertAlign w:val="superscript"/>
          <w:lang w:val="en-US" w:eastAsia="zh-CN"/>
        </w:rPr>
        <w:t>27</w:t>
      </w:r>
      <w:r>
        <w:rPr>
          <w:highlight w:val="none"/>
        </w:rPr>
        <w:t>. The baseline wave</w:t>
      </w:r>
      <w:r>
        <w:rPr>
          <w:rFonts w:hint="eastAsia" w:eastAsia="宋体"/>
          <w:highlight w:val="none"/>
          <w:lang w:val="en-US" w:eastAsia="zh-CN"/>
        </w:rPr>
        <w:t xml:space="preserve"> (Wave 1)</w:t>
      </w:r>
      <w:r>
        <w:rPr>
          <w:highlight w:val="none"/>
        </w:rPr>
        <w:t xml:space="preserve"> was collected from September 2022 to February 2023. Of 11,640 unique records in the analytic export, 1,284 (11.0%) were excluded because either the participant-level median item-response time or the within-participant standard deviation across the 104 analysed </w:t>
      </w:r>
      <w:r>
        <w:rPr>
          <w:rFonts w:hint="eastAsia"/>
          <w:highlight w:val="none"/>
        </w:rPr>
        <w:t>item scores</w:t>
      </w:r>
      <w:r>
        <w:rPr>
          <w:highlight w:val="none"/>
        </w:rPr>
        <w:t xml:space="preserve"> fell outside </w:t>
      </w:r>
      <w:r>
        <w:rPr>
          <w:rFonts w:hint="eastAsia"/>
          <w:highlight w:val="none"/>
        </w:rPr>
        <w:t>sample-derived bounds of 1.5 × the interquartile range.</w:t>
      </w:r>
      <w:r>
        <w:rPr>
          <w:highlight w:val="none"/>
        </w:rPr>
        <w:t xml:space="preserve"> The baseline sample comprised 10,356 adolescents (52.2% male; mean age 13.96 years, SD 2.42). </w:t>
      </w:r>
      <w:r>
        <w:rPr>
          <w:rFonts w:hint="eastAsia"/>
          <w:highlight w:val="none"/>
        </w:rPr>
        <w:t>The follow-up wave used in the longitudinal analysis (Wave 3) was exported in April 2024, approximately one year after baseline.</w:t>
      </w:r>
      <w:r>
        <w:rPr>
          <w:highlight w:val="none"/>
        </w:rPr>
        <w:t xml:space="preserve"> The study was approved by the Ethics Committee of the Affiliated Brain Hospital of Nanjing Medical University (approval 2022-KY095-02), was conducted in accordance with the Declaration of Helsinki, and obtained written informed consent from participating adolescents and their legal guardians.</w:t>
      </w:r>
    </w:p>
    <w:p w14:paraId="6D3ECAE2">
      <w:pPr>
        <w:pStyle w:val="5"/>
        <w:keepNext/>
        <w:rPr>
          <w:highlight w:val="none"/>
        </w:rPr>
      </w:pPr>
      <w:r>
        <w:rPr>
          <w:highlight w:val="none"/>
        </w:rPr>
        <w:t>SEARCH measures</w:t>
      </w:r>
    </w:p>
    <w:p w14:paraId="6EB7971B">
      <w:pPr>
        <w:rPr>
          <w:highlight w:val="none"/>
        </w:rPr>
      </w:pPr>
      <w:r>
        <w:rPr>
          <w:rFonts w:hint="eastAsia"/>
          <w:highlight w:val="none"/>
        </w:rPr>
        <w:t>We assessed six domains with 113 items. Problematic digital use was measured with the 26-item Chen Internet Addiction Scale-Revised (CIAS-R; response range 1–4), which assesses impairment across internet and digital-media use rather than smartphone-specific behaviour</w:t>
      </w:r>
      <w:r>
        <w:rPr>
          <w:rFonts w:hint="eastAsia"/>
          <w:highlight w:val="none"/>
          <w:vertAlign w:val="superscript"/>
        </w:rPr>
        <w:t>38</w:t>
      </w:r>
      <w:r>
        <w:rPr>
          <w:rFonts w:hint="eastAsia"/>
          <w:highlight w:val="none"/>
        </w:rPr>
        <w:t>. Emotional distress was measured with the 21-item Depression Anxiety Stress Scales (DASS-21; range 0–3)</w:t>
      </w:r>
      <w:r>
        <w:rPr>
          <w:rFonts w:hint="eastAsia"/>
          <w:highlight w:val="none"/>
          <w:vertAlign w:val="superscript"/>
        </w:rPr>
        <w:t>39</w:t>
      </w:r>
      <w:r>
        <w:rPr>
          <w:rFonts w:hint="eastAsia"/>
          <w:highlight w:val="none"/>
        </w:rPr>
        <w:t>. Broad difficulties were assessed with the 25 core SDQ items; six impact-supplement items were recorded separately</w:t>
      </w:r>
      <w:r>
        <w:rPr>
          <w:rFonts w:hint="eastAsia"/>
          <w:highlight w:val="none"/>
          <w:vertAlign w:val="superscript"/>
        </w:rPr>
        <w:t>40</w:t>
      </w:r>
      <w:r>
        <w:rPr>
          <w:rFonts w:hint="eastAsia"/>
          <w:highlight w:val="none"/>
        </w:rPr>
        <w:t>. Insomnia was measured with the seven-item Insomnia Severity Index (ISI; range 0–4)</w:t>
      </w:r>
      <w:r>
        <w:rPr>
          <w:rFonts w:hint="eastAsia"/>
          <w:highlight w:val="none"/>
          <w:vertAlign w:val="superscript"/>
        </w:rPr>
        <w:t>41</w:t>
      </w:r>
      <w:r>
        <w:rPr>
          <w:rFonts w:hint="eastAsia"/>
          <w:highlight w:val="none"/>
        </w:rPr>
        <w:t>. Diet was assessed using nine cohort-specific dietary-behaviour items and 13 items from the Chinese modified Yale Food Addiction Scale 2.0</w:t>
      </w:r>
      <w:r>
        <w:rPr>
          <w:rFonts w:hint="eastAsia"/>
          <w:highlight w:val="none"/>
          <w:vertAlign w:val="superscript"/>
        </w:rPr>
        <w:t>42, 43</w:t>
      </w:r>
      <w:r>
        <w:rPr>
          <w:rFonts w:hint="eastAsia"/>
          <w:highlight w:val="none"/>
        </w:rPr>
        <w:t>. Physical activity was assessed with six items; items 1–4 were adapted from the International Physical Activity Questionnaire-Short Form</w:t>
      </w:r>
      <w:r>
        <w:rPr>
          <w:rFonts w:hint="eastAsia"/>
          <w:highlight w:val="none"/>
          <w:vertAlign w:val="superscript"/>
        </w:rPr>
        <w:t>44, 45</w:t>
      </w:r>
      <w:r>
        <w:rPr>
          <w:rFonts w:hint="eastAsia"/>
          <w:highlight w:val="none"/>
        </w:rPr>
        <w:t>, and items 5–6 assessed recreational screen time. The exclusions used to construct the 104-item network are described below.</w:t>
      </w:r>
    </w:p>
    <w:p w14:paraId="3D9D53E8">
      <w:pPr>
        <w:rPr>
          <w:rFonts w:hint="eastAsia" w:eastAsia="宋体"/>
          <w:highlight w:val="none"/>
          <w:lang w:val="en-US" w:eastAsia="zh-CN"/>
        </w:rPr>
      </w:pPr>
      <w:r>
        <w:rPr>
          <w:highlight w:val="none"/>
        </w:rPr>
        <w:t xml:space="preserve">Nine items were excluded before item-level network estimation. </w:t>
      </w:r>
      <w:r>
        <w:rPr>
          <w:rFonts w:hint="eastAsia"/>
          <w:highlight w:val="none"/>
        </w:rPr>
        <w:t>The six SDQ impact-supplement items (items 26–31) were excluded because they assess the duration, distress and functional impact of overall difficulties and do not represent individual symptoms.</w:t>
      </w:r>
      <w:r>
        <w:rPr>
          <w:highlight w:val="none"/>
        </w:rPr>
        <w:t xml:space="preserve"> DIET item 3 was a multiple-response item and was not comparable with scalar items. </w:t>
      </w:r>
      <w:r>
        <w:rPr>
          <w:rFonts w:hint="eastAsia"/>
          <w:highlight w:val="none"/>
        </w:rPr>
        <w:t>ACT items 5 and 6 assessed recreational screen time and were excluded from the physical-activity domain.</w:t>
      </w:r>
      <w:r>
        <w:rPr>
          <w:highlight w:val="none"/>
        </w:rPr>
        <w:t xml:space="preserve"> </w:t>
      </w:r>
      <w:r>
        <w:rPr>
          <w:rFonts w:hint="eastAsia"/>
          <w:highlight w:val="none"/>
        </w:rPr>
        <w:t>After these exclusions, the final baseline network contained 104 items</w:t>
      </w:r>
      <w:r>
        <w:rPr>
          <w:highlight w:val="none"/>
        </w:rPr>
        <w:t xml:space="preserve">: 26 CIAS-R, 21 DASS-21, 25 SDQ, 7 ISI, 21 DIET and 4 ACT items. SDQ items 7, 11, 14, 21 and 25 were reverse-scored so that higher values indicated greater difficulty. </w:t>
      </w:r>
      <w:r>
        <w:rPr>
          <w:rFonts w:hint="eastAsia"/>
          <w:highlight w:val="none"/>
        </w:rPr>
        <w:t>Because all 25 core SDQ items were retained, including emotional and reverse-scored prosocial content, we describe this domain as broad SDQ difficulties.</w:t>
      </w:r>
      <w:r>
        <w:rPr>
          <w:rFonts w:hint="eastAsia" w:eastAsia="宋体"/>
          <w:highlight w:val="none"/>
          <w:lang w:val="en-US" w:eastAsia="zh-CN"/>
        </w:rPr>
        <w:t xml:space="preserve"> The CIAS-R, DASS-21, SDQ and ISI have established psychometric properties.</w:t>
      </w:r>
    </w:p>
    <w:p w14:paraId="1D57A5FF">
      <w:pPr>
        <w:pStyle w:val="5"/>
        <w:keepNext/>
        <w:rPr>
          <w:highlight w:val="none"/>
        </w:rPr>
      </w:pPr>
      <w:r>
        <w:rPr>
          <w:highlight w:val="none"/>
        </w:rPr>
        <w:t>SEARCH longitudinal linkage and domain scores</w:t>
      </w:r>
    </w:p>
    <w:p w14:paraId="00891CEC">
      <w:pPr>
        <w:rPr>
          <w:highlight w:val="none"/>
        </w:rPr>
      </w:pPr>
      <w:r>
        <w:rPr>
          <w:highlight w:val="none"/>
        </w:rPr>
        <w:t>The two SEARCH waves used independent record identifiers. Participants were linked deterministically using a SHA-1 digest of name, date of birth and recorded sex, truncated to 16 hexadecimal characters. Composite keys that were non-unique within a wave were excluded before linkage; three within-wave duplicate records in baseline and one at follow-up were removed. This procedure produced 6,092 participants with complete six-domain data at both waves. Non-unique baseline linkage keys involved 0.052% of candidate records.</w:t>
      </w:r>
    </w:p>
    <w:p w14:paraId="4D2AE083">
      <w:pPr>
        <w:rPr>
          <w:highlight w:val="none"/>
        </w:rPr>
      </w:pPr>
      <w:r>
        <w:rPr>
          <w:highlight w:val="none"/>
        </w:rPr>
        <w:t xml:space="preserve">Diet items 10-22 changed from binary response options at baseline to an eight-point scale at follow-up. </w:t>
      </w:r>
      <w:r>
        <w:rPr>
          <w:rFonts w:hint="eastAsia"/>
          <w:highlight w:val="none"/>
        </w:rPr>
        <w:t>Accordingly, the primary longitudinal analysis used six domain scores; item-level diet comparisons were not performed.</w:t>
      </w:r>
      <w:r>
        <w:rPr>
          <w:highlight w:val="none"/>
        </w:rPr>
        <w:t xml:space="preserve"> Each domain score was z-standardised within wave. Cross-wave correlations were 0.58 for CIAS-R, 0.63 for DASS, 0.43 for SDQ, 0.34 for diet, 0.57 for ISI and 0.31 for physical activity. Baseline differences between linked and unlinked participants were quantified with standardised mean differences.</w:t>
      </w:r>
    </w:p>
    <w:p w14:paraId="3CE10C74">
      <w:pPr>
        <w:pStyle w:val="5"/>
        <w:keepNext/>
        <w:rPr>
          <w:highlight w:val="none"/>
        </w:rPr>
      </w:pPr>
      <w:r>
        <w:rPr>
          <w:highlight w:val="none"/>
        </w:rPr>
        <w:t>SEARCH cross-lagged panel network</w:t>
      </w:r>
    </w:p>
    <w:p w14:paraId="338CE30C">
      <w:pPr>
        <w:rPr>
          <w:highlight w:val="none"/>
        </w:rPr>
      </w:pPr>
      <w:r>
        <w:rPr>
          <w:highlight w:val="none"/>
        </w:rPr>
        <w:t>For each follow-up domain, we fitted an ordinary least-squares regression containing all six baseline domain scores, including the corresponding autoregressive predictor. Coefficients were standardised and HC3 heteroskedasticity-robust standard errors were used</w:t>
      </w:r>
      <w:r>
        <w:rPr>
          <w:rFonts w:hint="eastAsia" w:eastAsia="宋体"/>
          <w:highlight w:val="none"/>
          <w:vertAlign w:val="superscript"/>
          <w:lang w:val="en-US" w:eastAsia="zh-CN"/>
        </w:rPr>
        <w:t>26, 36</w:t>
      </w:r>
      <w:r>
        <w:rPr>
          <w:highlight w:val="none"/>
        </w:rPr>
        <w:t xml:space="preserve">. </w:t>
      </w:r>
      <w:r>
        <w:rPr>
          <w:rFonts w:hint="eastAsia"/>
          <w:highlight w:val="none"/>
        </w:rPr>
        <w:t>The 30 cross-domain paths were evaluated using a Bonferroni-adjusted threshold of α = 0.0017</w:t>
      </w:r>
      <w:r>
        <w:rPr>
          <w:rFonts w:hint="eastAsia" w:eastAsia="宋体"/>
          <w:highlight w:val="none"/>
          <w:vertAlign w:val="baseline"/>
          <w:lang w:val="en-US" w:eastAsia="zh-CN"/>
        </w:rPr>
        <w:t>.</w:t>
      </w:r>
      <w:r>
        <w:rPr>
          <w:highlight w:val="none"/>
        </w:rPr>
        <w:t xml:space="preserve"> </w:t>
      </w:r>
      <w:r>
        <w:rPr>
          <w:rFonts w:hint="eastAsia"/>
          <w:highlight w:val="none"/>
        </w:rPr>
        <w:t>For visualisation, Fig. 1a marks paths with nominal P &lt; 0.05, and Fig. 1b displays paths with nominal P &lt; 0.05 and |β| ≥ 0.08. Formal inference was based on the Bonferroni-adjusted threshold.</w:t>
      </w:r>
      <w:r>
        <w:rPr>
          <w:rFonts w:hint="eastAsia" w:eastAsia="宋体"/>
          <w:highlight w:val="none"/>
          <w:lang w:val="en-US" w:eastAsia="zh-CN"/>
        </w:rPr>
        <w:t xml:space="preserve"> </w:t>
      </w:r>
      <w:r>
        <w:rPr>
          <w:rFonts w:hint="eastAsia" w:eastAsia="宋体"/>
          <w:highlight w:val="none"/>
          <w:lang w:eastAsia="zh-CN"/>
        </w:rPr>
        <w:t>CLPN net directionality</w:t>
      </w:r>
      <w:r>
        <w:rPr>
          <w:highlight w:val="none"/>
        </w:rPr>
        <w:t xml:space="preserve"> was calculated for each domain as the sum of absolute cross-lagged outgoing coefficients minus the sum of absolute incoming coefficients; autoregressive coefficients were excluded.</w:t>
      </w:r>
      <w:r>
        <w:rPr>
          <w:rFonts w:hint="eastAsia" w:eastAsia="宋体"/>
          <w:highlight w:val="none"/>
          <w:lang w:val="en-US" w:eastAsia="zh-CN"/>
        </w:rPr>
        <w:t xml:space="preserve"> </w:t>
      </w:r>
      <w:r>
        <w:rPr>
          <w:rFonts w:hint="eastAsia"/>
          <w:highlight w:val="none"/>
        </w:rPr>
        <w:t>Positive values indicate a net source position and negative values a net sink position. Because the calculation uses absolute coefficients, both positive and negative cross-lagged paths contribute to net directionality.</w:t>
      </w:r>
      <w:r>
        <w:rPr>
          <w:rFonts w:hint="eastAsia" w:eastAsia="宋体"/>
          <w:highlight w:val="none"/>
          <w:lang w:val="en-US" w:eastAsia="zh-CN"/>
        </w:rPr>
        <w:t xml:space="preserve"> </w:t>
      </w:r>
      <w:r>
        <w:rPr>
          <w:highlight w:val="none"/>
        </w:rPr>
        <w:t>Percentile 95% confidence intervals were estimated with 1,000 nonparametric bootstrap resamples.</w:t>
      </w:r>
    </w:p>
    <w:p w14:paraId="23C2745F">
      <w:pPr>
        <w:rPr>
          <w:rFonts w:hint="eastAsia" w:eastAsia="宋体"/>
          <w:highlight w:val="none"/>
          <w:lang w:val="en-US" w:eastAsia="zh-CN"/>
        </w:rPr>
      </w:pPr>
      <w:r>
        <w:rPr>
          <w:highlight w:val="none"/>
        </w:rPr>
        <w:t>Sensitivity analyses recalculated directionality using only Bonferroni-significant paths, adjusted the regressions for age, sex and grade</w:t>
      </w:r>
      <w:r>
        <w:rPr>
          <w:rFonts w:hint="eastAsia" w:eastAsia="宋体"/>
          <w:highlight w:val="none"/>
          <w:lang w:val="en-US" w:eastAsia="zh-CN"/>
        </w:rPr>
        <w:t xml:space="preserve"> </w:t>
      </w:r>
      <w:r>
        <w:rPr>
          <w:highlight w:val="none"/>
        </w:rPr>
        <w:t xml:space="preserve">and fitted a five-domain model excluding diet. </w:t>
      </w:r>
      <w:r>
        <w:rPr>
          <w:rFonts w:hint="eastAsia"/>
          <w:highlight w:val="none"/>
        </w:rPr>
        <w:t>These analyses tested the robustness of the net source–sink ranking and directionality sign under alternative specifications.</w:t>
      </w:r>
      <w:r>
        <w:rPr>
          <w:rFonts w:hint="eastAsia" w:eastAsia="宋体"/>
          <w:highlight w:val="none"/>
          <w:lang w:val="en-US" w:eastAsia="zh-CN"/>
        </w:rPr>
        <w:t xml:space="preserve"> </w:t>
      </w:r>
    </w:p>
    <w:p w14:paraId="1A2B487E">
      <w:pPr>
        <w:pStyle w:val="5"/>
        <w:keepNext/>
        <w:rPr>
          <w:highlight w:val="none"/>
        </w:rPr>
      </w:pPr>
      <w:r>
        <w:rPr>
          <w:highlight w:val="none"/>
        </w:rPr>
        <w:t>Millennium Cohort Study longitudinal analysis</w:t>
      </w:r>
    </w:p>
    <w:p w14:paraId="4D32EF2D">
      <w:pPr>
        <w:rPr>
          <w:highlight w:val="none"/>
        </w:rPr>
      </w:pPr>
      <w:r>
        <w:rPr>
          <w:highlight w:val="none"/>
        </w:rPr>
        <w:t>The UK Millennium Cohort Study (MCS) was used for an external longitudinal analysis</w:t>
      </w:r>
      <w:r>
        <w:rPr>
          <w:highlight w:val="none"/>
          <w:vertAlign w:val="superscript"/>
        </w:rPr>
        <w:t>2</w:t>
      </w:r>
      <w:r>
        <w:rPr>
          <w:rFonts w:hint="eastAsia" w:eastAsia="宋体"/>
          <w:highlight w:val="none"/>
          <w:vertAlign w:val="superscript"/>
          <w:lang w:val="en-US" w:eastAsia="zh-CN"/>
        </w:rPr>
        <w:t>8</w:t>
      </w:r>
      <w:r>
        <w:rPr>
          <w:highlight w:val="none"/>
        </w:rPr>
        <w:t>. Sweep 6 at age 14 (N = 11,852)</w:t>
      </w:r>
      <w:r>
        <w:rPr>
          <w:highlight w:val="none"/>
          <w:vertAlign w:val="superscript"/>
        </w:rPr>
        <w:t>4</w:t>
      </w:r>
      <w:r>
        <w:rPr>
          <w:rFonts w:hint="eastAsia" w:eastAsia="宋体"/>
          <w:highlight w:val="none"/>
          <w:vertAlign w:val="superscript"/>
          <w:lang w:val="en-US" w:eastAsia="zh-CN"/>
        </w:rPr>
        <w:t>6</w:t>
      </w:r>
      <w:r>
        <w:rPr>
          <w:highlight w:val="none"/>
        </w:rPr>
        <w:t xml:space="preserve"> and Sweep 7 at age 17 (N = 10,343)</w:t>
      </w:r>
      <w:r>
        <w:rPr>
          <w:highlight w:val="none"/>
          <w:vertAlign w:val="superscript"/>
        </w:rPr>
        <w:t>4</w:t>
      </w:r>
      <w:r>
        <w:rPr>
          <w:rFonts w:hint="eastAsia" w:eastAsia="宋体"/>
          <w:highlight w:val="none"/>
          <w:vertAlign w:val="superscript"/>
          <w:lang w:val="en-US" w:eastAsia="zh-CN"/>
        </w:rPr>
        <w:t>7</w:t>
      </w:r>
      <w:r>
        <w:rPr>
          <w:highlight w:val="none"/>
        </w:rPr>
        <w:t xml:space="preserve"> were obtained under licence from the UK Data Service. De-identified family and cohort-member identifiers linked 9,520 adolescents across sweeps. Six nodes were available at both ages: self-reported </w:t>
      </w:r>
      <w:r>
        <w:rPr>
          <w:rFonts w:hint="eastAsia" w:eastAsia="宋体"/>
          <w:highlight w:val="none"/>
          <w:lang w:eastAsia="zh-CN"/>
        </w:rPr>
        <w:t>internalising</w:t>
      </w:r>
      <w:r>
        <w:rPr>
          <w:highlight w:val="none"/>
        </w:rPr>
        <w:t xml:space="preserve"> distress, assessed with the 13-item Short Mood and Feelings Questionnaire at age 14</w:t>
      </w:r>
      <w:r>
        <w:rPr>
          <w:rFonts w:hint="eastAsia" w:eastAsia="宋体"/>
          <w:highlight w:val="none"/>
          <w:vertAlign w:val="superscript"/>
          <w:lang w:val="en-US" w:eastAsia="zh-CN"/>
        </w:rPr>
        <w:t>48</w:t>
      </w:r>
      <w:r>
        <w:rPr>
          <w:highlight w:val="none"/>
        </w:rPr>
        <w:t xml:space="preserve"> and the Kessler K6 at age 17</w:t>
      </w:r>
      <w:r>
        <w:rPr>
          <w:rFonts w:hint="eastAsia" w:eastAsia="宋体"/>
          <w:highlight w:val="none"/>
          <w:vertAlign w:val="superscript"/>
          <w:lang w:val="en-US" w:eastAsia="zh-CN"/>
        </w:rPr>
        <w:t>49</w:t>
      </w:r>
      <w:r>
        <w:rPr>
          <w:highlight w:val="none"/>
        </w:rPr>
        <w:t xml:space="preserve">; SDQ conduct, hyperactivity/inattention and peer-problem subscales; self-reported hours of </w:t>
      </w:r>
      <w:r>
        <w:rPr>
          <w:rFonts w:hint="eastAsia" w:eastAsia="宋体"/>
          <w:highlight w:val="none"/>
          <w:lang w:eastAsia="zh-CN"/>
        </w:rPr>
        <w:t>social media use</w:t>
      </w:r>
      <w:r>
        <w:rPr>
          <w:highlight w:val="none"/>
        </w:rPr>
        <w:t>; and self-reported hours of electronic gaming. Scores were z-standardised within wave.</w:t>
      </w:r>
    </w:p>
    <w:p w14:paraId="54C8B8D2">
      <w:pPr>
        <w:rPr>
          <w:highlight w:val="none"/>
        </w:rPr>
      </w:pPr>
      <w:r>
        <w:rPr>
          <w:rFonts w:hint="eastAsia"/>
          <w:highlight w:val="none"/>
        </w:rPr>
        <w:t>The MCS CLPN used the six constructs available at both sweeps and followed the same regression specification and net-directionality definition as SEARCH, with 500 nonparametric bootstrap resamples. The complete-case analysis included 7,838 participants. Because internalising distress was measured using different instruments at ages 14 and 17, this node was interpreted at the construct level.</w:t>
      </w:r>
    </w:p>
    <w:p w14:paraId="76731980">
      <w:pPr>
        <w:pStyle w:val="5"/>
        <w:keepNext/>
        <w:rPr>
          <w:highlight w:val="none"/>
        </w:rPr>
      </w:pPr>
      <w:r>
        <w:rPr>
          <w:highlight w:val="none"/>
        </w:rPr>
        <w:t>Baseline SEARCH network reconstruction</w:t>
      </w:r>
    </w:p>
    <w:p w14:paraId="7A25CE10">
      <w:pPr>
        <w:rPr>
          <w:highlight w:val="none"/>
        </w:rPr>
      </w:pPr>
      <w:r>
        <w:rPr>
          <w:highlight w:val="none"/>
        </w:rPr>
        <w:t xml:space="preserve">Item responses were transformed to normal marginals with a nonparanormal Gaussian-copula transformation. A Gaussian graphical model was estimated with graphical </w:t>
      </w:r>
      <w:r>
        <w:rPr>
          <w:rFonts w:hint="eastAsia" w:eastAsia="宋体"/>
          <w:highlight w:val="none"/>
          <w:lang w:val="en-US" w:eastAsia="zh-CN"/>
        </w:rPr>
        <w:t>l</w:t>
      </w:r>
      <w:r>
        <w:rPr>
          <w:highlight w:val="none"/>
        </w:rPr>
        <w:t>asso</w:t>
      </w:r>
      <w:r>
        <w:rPr>
          <w:highlight w:val="none"/>
          <w:vertAlign w:val="superscript"/>
        </w:rPr>
        <w:t>18,</w:t>
      </w:r>
      <w:r>
        <w:rPr>
          <w:rFonts w:hint="eastAsia" w:eastAsia="宋体"/>
          <w:highlight w:val="none"/>
          <w:vertAlign w:val="superscript"/>
          <w:lang w:val="en-US" w:eastAsia="zh-CN"/>
        </w:rPr>
        <w:t xml:space="preserve"> </w:t>
      </w:r>
      <w:r>
        <w:rPr>
          <w:highlight w:val="none"/>
          <w:vertAlign w:val="superscript"/>
        </w:rPr>
        <w:t>19</w:t>
      </w:r>
      <w:r>
        <w:rPr>
          <w:highlight w:val="none"/>
        </w:rPr>
        <w:t>. The regularisation parameter was selected by likelihood-based K-fold cross-validation over a 100-point geometric grid from lambda-max = 0.824 to 1% of that value, yielding lambda = 0.0581. Partial correlations were derived from the precision matrix. Cross-sectional network reporting followed current methodological standards</w:t>
      </w:r>
      <w:r>
        <w:rPr>
          <w:highlight w:val="none"/>
          <w:vertAlign w:val="superscript"/>
        </w:rPr>
        <w:t>23</w:t>
      </w:r>
      <w:r>
        <w:rPr>
          <w:highlight w:val="none"/>
        </w:rPr>
        <w:t>.</w:t>
      </w:r>
    </w:p>
    <w:p w14:paraId="24FCEB88">
      <w:pPr>
        <w:pStyle w:val="5"/>
        <w:keepNext/>
        <w:rPr>
          <w:highlight w:val="none"/>
        </w:rPr>
      </w:pPr>
      <w:r>
        <w:rPr>
          <w:highlight w:val="none"/>
        </w:rPr>
        <w:t>Structural-control and robustness analyses</w:t>
      </w:r>
    </w:p>
    <w:p w14:paraId="36576B04">
      <w:pPr>
        <w:rPr>
          <w:highlight w:val="none"/>
        </w:rPr>
      </w:pPr>
      <w:r>
        <w:rPr>
          <w:rFonts w:hint="eastAsia" w:eastAsia="宋体"/>
          <w:highlight w:val="none"/>
          <w:lang w:eastAsia="zh-CN"/>
        </w:rPr>
        <w:t>MDS solutions</w:t>
      </w:r>
      <w:r>
        <w:rPr>
          <w:highlight w:val="none"/>
        </w:rPr>
        <w:t xml:space="preserve"> were enumerated exhaustively</w:t>
      </w:r>
      <w:r>
        <w:rPr>
          <w:highlight w:val="none"/>
          <w:vertAlign w:val="superscript"/>
        </w:rPr>
        <w:t>20,</w:t>
      </w:r>
      <w:r>
        <w:rPr>
          <w:rFonts w:hint="eastAsia" w:eastAsia="宋体"/>
          <w:highlight w:val="none"/>
          <w:vertAlign w:val="superscript"/>
          <w:lang w:val="en-US" w:eastAsia="zh-CN"/>
        </w:rPr>
        <w:t xml:space="preserve"> </w:t>
      </w:r>
      <w:r>
        <w:rPr>
          <w:highlight w:val="none"/>
          <w:vertAlign w:val="superscript"/>
        </w:rPr>
        <w:t>21</w:t>
      </w:r>
      <w:r>
        <w:rPr>
          <w:highlight w:val="none"/>
        </w:rPr>
        <w:t xml:space="preserve">. A dominating set is a group of nodes such that every node in the graph either belongs to the set or is adjacent to a member. Control frequency was defined as the proportion of </w:t>
      </w:r>
      <w:r>
        <w:rPr>
          <w:rFonts w:hint="eastAsia"/>
          <w:highlight w:val="none"/>
        </w:rPr>
        <w:t>MDS solutions</w:t>
      </w:r>
      <w:r>
        <w:rPr>
          <w:highlight w:val="none"/>
        </w:rPr>
        <w:t xml:space="preserve"> containing a node. The module control network summarised inter-module structural coverage using average module control strength</w:t>
      </w:r>
      <w:r>
        <w:rPr>
          <w:rFonts w:hint="eastAsia" w:eastAsia="宋体"/>
          <w:highlight w:val="none"/>
          <w:lang w:val="en-US" w:eastAsia="zh-CN"/>
        </w:rPr>
        <w:t xml:space="preserve"> (AMCS)</w:t>
      </w:r>
      <w:r>
        <w:rPr>
          <w:highlight w:val="none"/>
          <w:vertAlign w:val="superscript"/>
        </w:rPr>
        <w:t>22</w:t>
      </w:r>
      <w:r>
        <w:rPr>
          <w:highlight w:val="none"/>
        </w:rPr>
        <w:t>. These quantities refer to the topology of the estimated undirected graph; they do not represent intervention effects, dynamical controllability or temporal precedence.</w:t>
      </w:r>
    </w:p>
    <w:p w14:paraId="270DCF86">
      <w:pPr>
        <w:rPr>
          <w:highlight w:val="none"/>
        </w:rPr>
      </w:pPr>
      <w:r>
        <w:rPr>
          <w:highlight w:val="none"/>
        </w:rPr>
        <w:t>To separate minimum-set size from node identity, 500 degree-preserving null networks were generated by double-edge-swap randomisation and each node's observed control frequency was compared with its node-specific null domination frequency. Estimator sensitivity was examined with EBIC graphical</w:t>
      </w:r>
      <w:r>
        <w:rPr>
          <w:rFonts w:hint="eastAsia" w:eastAsia="宋体"/>
          <w:highlight w:val="none"/>
          <w:lang w:val="en-US" w:eastAsia="zh-CN"/>
        </w:rPr>
        <w:t xml:space="preserve"> l</w:t>
      </w:r>
      <w:r>
        <w:rPr>
          <w:highlight w:val="none"/>
        </w:rPr>
        <w:t>asso networks at gamma values of 0, 0.25 and 0.5, the primary cross-validated network, and a positive-edges-only version. Six community-detection algorithms (Louvain, Leiden, Walktrap, Spinglass, Fast-Greedy and Infomap) were compared with the six prespecified domains using adjusted Rand index and normalised mutual information</w:t>
      </w:r>
      <w:r>
        <w:rPr>
          <w:rFonts w:hint="eastAsia" w:eastAsia="宋体"/>
          <w:highlight w:val="none"/>
          <w:vertAlign w:val="superscript"/>
          <w:lang w:val="en-US" w:eastAsia="zh-CN"/>
        </w:rPr>
        <w:t>31</w:t>
      </w:r>
      <w:r>
        <w:rPr>
          <w:highlight w:val="none"/>
        </w:rPr>
        <w:t>. Community assignments were also compared across waves.</w:t>
      </w:r>
    </w:p>
    <w:p w14:paraId="26572387">
      <w:pPr>
        <w:rPr>
          <w:rFonts w:hint="eastAsia" w:eastAsia="宋体"/>
          <w:highlight w:val="none"/>
          <w:lang w:val="en-US" w:eastAsia="zh-CN"/>
        </w:rPr>
      </w:pPr>
      <w:r>
        <w:rPr>
          <w:highlight w:val="none"/>
        </w:rPr>
        <w:t>We additionally calculated node strength, closeness, betweenness, eigenvector centrality, signed expected influence, bridge strength, bridge expected influence, bridge betweenness, participation coefficient, average controllability, modal controllability and control energy</w:t>
      </w:r>
      <w:r>
        <w:rPr>
          <w:rFonts w:hint="eastAsia" w:eastAsia="宋体"/>
          <w:highlight w:val="none"/>
          <w:vertAlign w:val="superscript"/>
          <w:lang w:val="en-US" w:eastAsia="zh-CN"/>
        </w:rPr>
        <w:t>32</w:t>
      </w:r>
      <w:r>
        <w:rPr>
          <w:highlight w:val="none"/>
        </w:rPr>
        <w:t xml:space="preserve">. </w:t>
      </w:r>
      <w:r>
        <w:rPr>
          <w:rFonts w:hint="eastAsia"/>
          <w:highlight w:val="none"/>
        </w:rPr>
        <w:t>Average and modal controllability, together with the control energy associated with state transitions in the ISI and ACT modules, were derived from the discrete-time linear controllability Gramian applied to the absolute-weight adjacency matrix.</w:t>
      </w:r>
      <w:r>
        <w:rPr>
          <w:rFonts w:hint="eastAsia" w:eastAsia="宋体"/>
          <w:highlight w:val="none"/>
          <w:lang w:val="en-US" w:eastAsia="zh-CN"/>
        </w:rPr>
        <w:t xml:space="preserve"> </w:t>
      </w:r>
      <w:r>
        <w:rPr>
          <w:highlight w:val="none"/>
        </w:rPr>
        <w:t xml:space="preserve">Spearman correlations and principal-component analysis assessed overlap among node metrics. Node-knockout analyses and sustained nonlinear propagation simulations were retained as supplementary robustness analyses. The propagation model applied a hyperbolic-tangent activation with gain g = 0.9 to the </w:t>
      </w:r>
      <w:r>
        <w:rPr>
          <w:rFonts w:hint="eastAsia"/>
          <w:highlight w:val="none"/>
        </w:rPr>
        <w:t>spectrally normalised absolute adjacency matrix</w:t>
      </w:r>
      <w:r>
        <w:rPr>
          <w:highlight w:val="none"/>
        </w:rPr>
        <w:t xml:space="preserve"> under sustained module input.</w:t>
      </w:r>
      <w:r>
        <w:rPr>
          <w:rFonts w:hint="eastAsia" w:eastAsia="宋体"/>
          <w:highlight w:val="none"/>
          <w:lang w:val="en-US" w:eastAsia="zh-CN"/>
        </w:rPr>
        <w:t xml:space="preserve"> Group-level network structures were compared using a permutation-based network comparison test</w:t>
      </w:r>
      <w:r>
        <w:rPr>
          <w:rFonts w:hint="eastAsia" w:eastAsia="宋体"/>
          <w:highlight w:val="none"/>
          <w:vertAlign w:val="superscript"/>
          <w:lang w:val="en-US" w:eastAsia="zh-CN"/>
        </w:rPr>
        <w:t>50</w:t>
      </w:r>
      <w:r>
        <w:rPr>
          <w:rFonts w:hint="eastAsia" w:eastAsia="宋体"/>
          <w:highlight w:val="none"/>
          <w:lang w:val="en-US" w:eastAsia="zh-CN"/>
        </w:rPr>
        <w:t>.</w:t>
      </w:r>
    </w:p>
    <w:p w14:paraId="41BF3298">
      <w:pPr>
        <w:pStyle w:val="5"/>
        <w:keepNext/>
        <w:rPr>
          <w:highlight w:val="none"/>
        </w:rPr>
      </w:pPr>
      <w:r>
        <w:rPr>
          <w:highlight w:val="none"/>
        </w:rPr>
        <w:t>Exploratory Bayesian graph</w:t>
      </w:r>
    </w:p>
    <w:p w14:paraId="2CB113E0">
      <w:pPr>
        <w:rPr>
          <w:rFonts w:hint="eastAsia" w:eastAsia="宋体"/>
          <w:highlight w:val="none"/>
          <w:lang w:val="en-US" w:eastAsia="zh-CN"/>
        </w:rPr>
      </w:pPr>
      <w:r>
        <w:rPr>
          <w:rFonts w:hint="eastAsia"/>
          <w:highlight w:val="none"/>
        </w:rPr>
        <w:t>The six baseline domain scores of the 6,092 longitudinally matched SEARCH participants</w:t>
      </w:r>
      <w:r>
        <w:rPr>
          <w:highlight w:val="none"/>
        </w:rPr>
        <w:t xml:space="preserve"> were discretised into tertiles and a directed acyclic graph was learned by hill-climb search with the Bayesian information criterion in pgmpy. Directed-edge stability was estimated across 200 bootstrap resamples. We also examined the completed partially directed acyclic graph, a continuous Gaussian Bayesian network and leave-one-domain-out correlations. </w:t>
      </w:r>
      <w:r>
        <w:rPr>
          <w:rFonts w:hint="eastAsia"/>
          <w:highlight w:val="none"/>
        </w:rPr>
        <w:t>Because observational Bayesian graphs identify an equivalence class and may be affected by unmeasured confounding, this analysis was interpreted as an exploratory comparison with CLPN ordering rather than causal identification.</w:t>
      </w:r>
      <w:r>
        <w:rPr>
          <w:rFonts w:hint="eastAsia" w:eastAsia="宋体"/>
          <w:highlight w:val="none"/>
          <w:lang w:val="en-US" w:eastAsia="zh-CN"/>
        </w:rPr>
        <w:t xml:space="preserve"> Agreement between Bayesian net out-degree and CLPN net directionality was assessed across six paired domain-level estimates using Pearson and Spearman correlations. The exact two-sided permutation test enumerated all 720 permutations and compared absolute Pearson correlations. The percentile 95% confidence interval for Pearson r was calculated from 5,000 attempted paired bootstrap resamples, excluding resamples with undefined correlations.</w:t>
      </w:r>
    </w:p>
    <w:p w14:paraId="70972AB3">
      <w:pPr>
        <w:pStyle w:val="5"/>
        <w:keepNext/>
        <w:rPr>
          <w:highlight w:val="none"/>
        </w:rPr>
      </w:pPr>
      <w:r>
        <w:rPr>
          <w:highlight w:val="none"/>
        </w:rPr>
        <w:t>Global Mind Project analysis</w:t>
      </w:r>
    </w:p>
    <w:p w14:paraId="6C709D83">
      <w:pPr>
        <w:rPr>
          <w:highlight w:val="none"/>
        </w:rPr>
      </w:pPr>
      <w:r>
        <w:rPr>
          <w:highlight w:val="none"/>
        </w:rPr>
        <w:t>The Global Mind Project/Mental Health Million dataset contains adult self-report records collected internationally</w:t>
      </w:r>
      <w:r>
        <w:rPr>
          <w:rFonts w:hint="eastAsia" w:eastAsia="宋体"/>
          <w:highlight w:val="none"/>
          <w:vertAlign w:val="superscript"/>
          <w:lang w:val="en-US" w:eastAsia="zh-CN"/>
        </w:rPr>
        <w:t>29</w:t>
      </w:r>
      <w:r>
        <w:rPr>
          <w:highlight w:val="none"/>
          <w:vertAlign w:val="superscript"/>
        </w:rPr>
        <w:t>,</w:t>
      </w:r>
      <w:r>
        <w:rPr>
          <w:rFonts w:hint="eastAsia" w:eastAsia="宋体"/>
          <w:highlight w:val="none"/>
          <w:vertAlign w:val="superscript"/>
          <w:lang w:val="en-US" w:eastAsia="zh-CN"/>
        </w:rPr>
        <w:t xml:space="preserve"> 30</w:t>
      </w:r>
      <w:r>
        <w:rPr>
          <w:highlight w:val="none"/>
        </w:rPr>
        <w:t xml:space="preserve">. </w:t>
      </w:r>
      <w:r>
        <w:rPr>
          <w:rFonts w:hint="eastAsia"/>
          <w:highlight w:val="none"/>
        </w:rPr>
        <w:t>We selected participants aged 18–24 years; 147,506 had complete data for six mapped constructs and were included in the pooled multinational analysis.</w:t>
      </w:r>
      <w:r>
        <w:rPr>
          <w:highlight w:val="none"/>
        </w:rPr>
        <w:t xml:space="preserve"> Emotion was represented by fear/anxiety, sadness/hopelessness, mood swings and anger; broad behaviour by restlessness/hyperactivity, aggression and impulsivity; sleep by sleep frequency and quality; diet by ultra-processed food, fruit/vegetable and sugary-food frequency and appetite; activity by exercise frequency; and digital exposure by social-media frequency.</w:t>
      </w:r>
    </w:p>
    <w:p w14:paraId="5A02B0BE">
      <w:pPr>
        <w:rPr>
          <w:rFonts w:hint="eastAsia"/>
          <w:highlight w:val="none"/>
        </w:rPr>
      </w:pPr>
      <w:r>
        <w:rPr>
          <w:rFonts w:hint="eastAsia"/>
          <w:highlight w:val="none"/>
        </w:rPr>
        <w:t xml:space="preserve">Within each mapped GMP domain, component items were z-standardised and averaged to form a domain score. The six domain scores were transformed to normal marginals, and a Gaussian graphical model was estimated using cross-validated graphical </w:t>
      </w:r>
      <w:r>
        <w:rPr>
          <w:rFonts w:hint="eastAsia" w:eastAsia="宋体"/>
          <w:highlight w:val="none"/>
          <w:lang w:val="en-US" w:eastAsia="zh-CN"/>
        </w:rPr>
        <w:t>l</w:t>
      </w:r>
      <w:r>
        <w:rPr>
          <w:rFonts w:hint="eastAsia"/>
          <w:highlight w:val="none"/>
        </w:rPr>
        <w:t xml:space="preserve">asso. Domain strength was calculated as the sum of absolute partial correlations, with 95% confidence intervals obtained from 300 </w:t>
      </w:r>
      <w:r>
        <w:rPr>
          <w:rFonts w:hint="eastAsia" w:eastAsia="宋体"/>
          <w:highlight w:val="none"/>
          <w:lang w:eastAsia="zh-CN"/>
        </w:rPr>
        <w:t>nonparametric</w:t>
      </w:r>
      <w:r>
        <w:rPr>
          <w:rFonts w:hint="eastAsia"/>
          <w:highlight w:val="none"/>
        </w:rPr>
        <w:t xml:space="preserve"> bootstrap resamples. </w:t>
      </w:r>
    </w:p>
    <w:p w14:paraId="10B28F35">
      <w:pPr>
        <w:rPr>
          <w:highlight w:val="none"/>
        </w:rPr>
      </w:pPr>
      <w:r>
        <w:rPr>
          <w:rFonts w:hint="eastAsia"/>
          <w:highlight w:val="none"/>
        </w:rPr>
        <w:t>For the descriptive comparison in Fig. 5b, the 104 baseline SEARCH items were summed within six corresponding domains, and the resulting domain scores were z-standardised. A six-domain partial-correlation network was derived from the inverse correlation matrix, with domain strength calculated in the same way. Strengths were normalised separately within each cohort by dividing each value by the maximum domain strength, so that the strongest domain was assigned a value of 1. This comparison was descriptive and did not test differences between cohorts.</w:t>
      </w:r>
    </w:p>
    <w:p w14:paraId="5DE60377">
      <w:pPr>
        <w:pStyle w:val="5"/>
        <w:keepNext/>
        <w:rPr>
          <w:highlight w:val="none"/>
        </w:rPr>
      </w:pPr>
      <w:r>
        <w:rPr>
          <w:highlight w:val="none"/>
        </w:rPr>
        <w:t>Statistics and reproducibility</w:t>
      </w:r>
    </w:p>
    <w:p w14:paraId="35B7DC72">
      <w:pPr>
        <w:rPr>
          <w:highlight w:val="none"/>
        </w:rPr>
      </w:pPr>
      <w:r>
        <w:rPr>
          <w:highlight w:val="none"/>
        </w:rPr>
        <w:t xml:space="preserve">All available eligible records were analysed and no a priori sample-size calculation was performed. No missing-data imputation was used. The SEARCH cross-lagged model included 6,092 linked complete cases, the MCS model included 7,838 complete cases, the secondary baseline SEARCH network included 10,356 participants, and the Global Mind Project analysis included 147,506 complete cases. </w:t>
      </w:r>
      <w:r>
        <w:rPr>
          <w:rFonts w:hint="eastAsia"/>
          <w:highlight w:val="none"/>
        </w:rPr>
        <w:t>All tests were two-sided. Bootstrap counts were 1,000 for SEARCH directionality, 500 for MCS directionality, 300 for Global Mind Project strength and 200 for Bayesian edge stability. We also generated 500 degree-preserving null networks.</w:t>
      </w:r>
      <w:r>
        <w:rPr>
          <w:highlight w:val="none"/>
        </w:rPr>
        <w:t xml:space="preserve"> </w:t>
      </w:r>
    </w:p>
    <w:p w14:paraId="7957EE70">
      <w:pPr>
        <w:pStyle w:val="5"/>
        <w:keepNext/>
        <w:rPr>
          <w:highlight w:val="none"/>
        </w:rPr>
      </w:pPr>
      <w:r>
        <w:rPr>
          <w:highlight w:val="none"/>
        </w:rPr>
        <w:t>Software</w:t>
      </w:r>
    </w:p>
    <w:p w14:paraId="07F7A0BD">
      <w:pPr>
        <w:rPr>
          <w:highlight w:val="none"/>
        </w:rPr>
      </w:pPr>
      <w:r>
        <w:rPr>
          <w:highlight w:val="none"/>
        </w:rPr>
        <w:t>Analyses were conducted in Python using scikit-learn, networkx, python-igraph, leidenalg, python-louvain, statsmodels and pgmpy.</w:t>
      </w:r>
    </w:p>
    <w:p w14:paraId="14F75C5C">
      <w:pPr>
        <w:pStyle w:val="3"/>
        <w:keepNext/>
        <w:rPr>
          <w:highlight w:val="none"/>
        </w:rPr>
      </w:pPr>
      <w:r>
        <w:rPr>
          <w:highlight w:val="none"/>
        </w:rPr>
        <w:t>Data Availability</w:t>
      </w:r>
    </w:p>
    <w:p w14:paraId="43A95D9B">
      <w:pPr>
        <w:rPr>
          <w:highlight w:val="none"/>
        </w:rPr>
      </w:pPr>
      <w:r>
        <w:rPr>
          <w:highlight w:val="none"/>
        </w:rPr>
        <w:t>Individual-level SEARCH data are restricted by ethics approval 2022-KY095-02 and cannot be shared publicly. Global Mind Project data are available from Sapien Labs under the provider's data-access conditions. Millennium Cohort Study data are available to registered users from the UK Data Service under its End User Licence. Derived, non-identifiable matrices, cross-lagged coefficients, bootstrap outputs, Bayesian-network edge lists, null-model distributions and machine-readable result tables are supplied in Supplementary Data 1 and the accompanying code archives. No individual-level records are included.</w:t>
      </w:r>
    </w:p>
    <w:p w14:paraId="73739E15">
      <w:pPr>
        <w:pStyle w:val="3"/>
        <w:keepNext/>
        <w:rPr>
          <w:highlight w:val="none"/>
        </w:rPr>
      </w:pPr>
      <w:r>
        <w:rPr>
          <w:highlight w:val="none"/>
        </w:rPr>
        <w:t>Code Availability</w:t>
      </w:r>
    </w:p>
    <w:p w14:paraId="26ACBBA6">
      <w:pPr>
        <w:rPr>
          <w:rFonts w:hint="eastAsia" w:eastAsia="宋体"/>
          <w:highlight w:val="none"/>
          <w:lang w:val="en-US" w:eastAsia="zh-CN"/>
        </w:rPr>
      </w:pPr>
      <w:r>
        <w:rPr>
          <w:rFonts w:hint="eastAsia"/>
          <w:highlight w:val="none"/>
        </w:rPr>
        <w:t xml:space="preserve">The analysis code used in this study is available through the project website: </w:t>
      </w:r>
      <w:r>
        <w:rPr>
          <w:rFonts w:hint="eastAsia"/>
          <w:highlight w:val="none"/>
        </w:rPr>
        <w:fldChar w:fldCharType="begin"/>
      </w:r>
      <w:r>
        <w:rPr>
          <w:rFonts w:hint="eastAsia"/>
          <w:highlight w:val="none"/>
        </w:rPr>
        <w:instrText xml:space="preserve"> HYPERLINK "https://zling77.github.io/digital-use-symptom-networks/." </w:instrText>
      </w:r>
      <w:r>
        <w:rPr>
          <w:rFonts w:hint="eastAsia"/>
          <w:highlight w:val="none"/>
        </w:rPr>
        <w:fldChar w:fldCharType="separate"/>
      </w:r>
      <w:r>
        <w:rPr>
          <w:rFonts w:hint="eastAsia"/>
          <w:highlight w:val="none"/>
        </w:rPr>
        <w:t>https://zling77.github.io/digital-use-symptom-networks/</w:t>
      </w:r>
      <w:r>
        <w:rPr>
          <w:rFonts w:hint="eastAsia"/>
          <w:highlight w:val="none"/>
        </w:rPr>
        <w:fldChar w:fldCharType="end"/>
      </w:r>
      <w:r>
        <w:rPr>
          <w:rFonts w:hint="eastAsia"/>
          <w:highlight w:val="none"/>
          <w:lang w:val="en-US" w:eastAsia="zh-CN"/>
        </w:rPr>
        <w:t xml:space="preserve"> </w:t>
      </w:r>
      <w:r>
        <w:rPr>
          <w:rFonts w:hint="eastAsia" w:eastAsia="宋体"/>
          <w:highlight w:val="none"/>
          <w:lang w:val="en-US" w:eastAsia="zh-CN"/>
        </w:rPr>
        <w:t>The main code archive contains scripts for SEARCH network reconstruction, cross-lagged panel networks, structural-control analyses, Bayesian graphs, community detection, null models and figure generation. A separate archive contains the Global Mind Project and Millennium Cohort Study analysis scripts.</w:t>
      </w:r>
    </w:p>
    <w:p w14:paraId="0D2E1DE9">
      <w:pPr>
        <w:pStyle w:val="3"/>
        <w:keepNext/>
        <w:rPr>
          <w:highlight w:val="none"/>
        </w:rPr>
      </w:pPr>
      <w:r>
        <w:rPr>
          <w:highlight w:val="none"/>
        </w:rPr>
        <w:t>Acknowledgements</w:t>
      </w:r>
    </w:p>
    <w:p w14:paraId="74165767">
      <w:pPr>
        <w:rPr>
          <w:highlight w:val="none"/>
        </w:rPr>
      </w:pPr>
      <w:r>
        <w:rPr>
          <w:highlight w:val="none"/>
        </w:rPr>
        <w:t>This work was supported by the NSFC-Jiangsu Joint Fund (U24A20701) and the Hong Kong Research Grants Council (STG1/M-501/23-N). The funders had no role in study design, data collection and analysis, the decision to publish or preparation of the manuscript.</w:t>
      </w:r>
    </w:p>
    <w:p w14:paraId="486720D2">
      <w:pPr>
        <w:pStyle w:val="3"/>
        <w:keepNext/>
        <w:rPr>
          <w:highlight w:val="none"/>
        </w:rPr>
      </w:pPr>
      <w:r>
        <w:rPr>
          <w:highlight w:val="none"/>
        </w:rPr>
        <w:t>Author Contributions</w:t>
      </w:r>
    </w:p>
    <w:p w14:paraId="71ADDAC0">
      <w:pPr>
        <w:rPr>
          <w:highlight w:val="none"/>
        </w:rPr>
      </w:pPr>
      <w:r>
        <w:rPr>
          <w:highlight w:val="none"/>
        </w:rPr>
        <w:t>X.Z. conceived and designed the study. J.Z. and L.Z. curated the data. X.Z., J.Z. and L.Z. conducted the statistical and network analyses. X.Z. supervised the work. J.Z., L.Z. and X.Z. interpreted the findings. X.Z. drafted the manuscript. All authors reviewed and approved the final manuscript.</w:t>
      </w:r>
    </w:p>
    <w:p w14:paraId="5218EC79">
      <w:pPr>
        <w:pStyle w:val="3"/>
        <w:keepNext/>
        <w:rPr>
          <w:highlight w:val="none"/>
        </w:rPr>
      </w:pPr>
      <w:r>
        <w:rPr>
          <w:highlight w:val="none"/>
        </w:rPr>
        <w:t>Ethics Declaration</w:t>
      </w:r>
    </w:p>
    <w:p w14:paraId="31DAE59B">
      <w:pPr>
        <w:rPr>
          <w:highlight w:val="none"/>
        </w:rPr>
      </w:pPr>
      <w:r>
        <w:rPr>
          <w:rFonts w:hint="eastAsia"/>
          <w:highlight w:val="none"/>
        </w:rPr>
        <w:t>The present study analysed existing SEARCH, MCS and GMP data; no new participants were recruited and no new data were collected.</w:t>
      </w:r>
      <w:r>
        <w:rPr>
          <w:rFonts w:hint="eastAsia" w:eastAsia="宋体"/>
          <w:highlight w:val="none"/>
          <w:lang w:val="en-US" w:eastAsia="zh-CN"/>
        </w:rPr>
        <w:t xml:space="preserve"> </w:t>
      </w:r>
      <w:r>
        <w:rPr>
          <w:highlight w:val="none"/>
        </w:rPr>
        <w:t>The SEARCH study was approved by the Ethics Committee of the Affiliated Brain Hospital of Nanjing Medical University (approval 2022-KY095-02) and conducted in accordance with the Declaration of Helsinki. Written informed consent was obtained from participating adolescents and their legal guardians before data collection. The Global Mind Project and Millennium Cohort Study analyses used de-identified secondary data collected under the ethical approvals and access conditions of their respective data providers.</w:t>
      </w:r>
    </w:p>
    <w:p w14:paraId="4E834131">
      <w:pPr>
        <w:pStyle w:val="3"/>
        <w:keepNext/>
        <w:rPr>
          <w:highlight w:val="none"/>
        </w:rPr>
      </w:pPr>
      <w:r>
        <w:rPr>
          <w:highlight w:val="none"/>
        </w:rPr>
        <w:t>Competing Interests</w:t>
      </w:r>
    </w:p>
    <w:p w14:paraId="44287EB0">
      <w:pPr>
        <w:rPr>
          <w:highlight w:val="none"/>
        </w:rPr>
      </w:pPr>
      <w:r>
        <w:rPr>
          <w:highlight w:val="none"/>
        </w:rPr>
        <w:t>The authors declare no financial or non-financial competing interests.</w:t>
      </w:r>
    </w:p>
    <w:p w14:paraId="5F70580D">
      <w:pPr>
        <w:pStyle w:val="3"/>
        <w:keepNext/>
        <w:rPr>
          <w:highlight w:val="none"/>
        </w:rPr>
      </w:pPr>
      <w:r>
        <w:rPr>
          <w:highlight w:val="none"/>
        </w:rPr>
        <w:t>References</w:t>
      </w:r>
    </w:p>
    <w:p w14:paraId="354FB0C0">
      <w:pPr>
        <w:numPr>
          <w:ilvl w:val="0"/>
          <w:numId w:val="7"/>
        </w:numPr>
        <w:spacing w:after="80" w:line="276" w:lineRule="auto"/>
        <w:ind w:left="432" w:hanging="432"/>
        <w:rPr>
          <w:rFonts w:hint="default" w:ascii="Times New Roman" w:hAnsi="Times New Roman" w:cs="Times New Roman"/>
          <w:sz w:val="18"/>
          <w:szCs w:val="18"/>
          <w:highlight w:val="none"/>
        </w:rPr>
      </w:pPr>
      <w:r>
        <w:rPr>
          <w:rFonts w:hint="eastAsia" w:ascii="Times New Roman" w:hAnsi="Times New Roman" w:eastAsia="宋体" w:cs="Times New Roman"/>
          <w:sz w:val="24"/>
          <w:szCs w:val="24"/>
          <w:highlight w:val="none"/>
          <w:lang w:val="en-US" w:eastAsia="zh-CN"/>
        </w:rPr>
        <w:t xml:space="preserve"> </w:t>
      </w:r>
      <w:r>
        <w:rPr>
          <w:rFonts w:hint="default" w:ascii="Times New Roman" w:hAnsi="Times New Roman" w:cs="Times New Roman"/>
          <w:sz w:val="18"/>
          <w:szCs w:val="18"/>
          <w:highlight w:val="none"/>
        </w:rPr>
        <w:t xml:space="preserve">Auerbach, R. P. et al. WHO World Mental Health Surveys International College Student Project: Prevalence and distribution of mental disorders. </w:t>
      </w:r>
      <w:r>
        <w:rPr>
          <w:rFonts w:hint="default" w:ascii="Times New Roman" w:hAnsi="Times New Roman" w:cs="Times New Roman"/>
          <w:i/>
          <w:iCs/>
          <w:sz w:val="18"/>
          <w:szCs w:val="18"/>
          <w:highlight w:val="none"/>
        </w:rPr>
        <w:t>J. Abnorm. Psychol.</w:t>
      </w:r>
      <w:r>
        <w:rPr>
          <w:rFonts w:hint="default" w:ascii="Times New Roman" w:hAnsi="Times New Roman" w:cs="Times New Roman"/>
          <w:sz w:val="18"/>
          <w:szCs w:val="18"/>
          <w:highlight w:val="none"/>
        </w:rPr>
        <w:t xml:space="preserve"> </w:t>
      </w:r>
      <w:r>
        <w:rPr>
          <w:rFonts w:hint="default" w:ascii="Times New Roman" w:hAnsi="Times New Roman" w:cs="Times New Roman"/>
          <w:b/>
          <w:bCs/>
          <w:sz w:val="18"/>
          <w:szCs w:val="18"/>
          <w:highlight w:val="none"/>
        </w:rPr>
        <w:t>127,</w:t>
      </w:r>
      <w:r>
        <w:rPr>
          <w:rFonts w:hint="default" w:ascii="Times New Roman" w:hAnsi="Times New Roman" w:cs="Times New Roman"/>
          <w:sz w:val="18"/>
          <w:szCs w:val="18"/>
          <w:highlight w:val="none"/>
        </w:rPr>
        <w:t xml:space="preserve"> 623–638</w:t>
      </w:r>
      <w:r>
        <w:rPr>
          <w:rFonts w:hint="default" w:ascii="Times New Roman" w:hAnsi="Times New Roman" w:eastAsia="宋体" w:cs="Times New Roman"/>
          <w:sz w:val="18"/>
          <w:szCs w:val="18"/>
          <w:highlight w:val="none"/>
          <w:lang w:val="en-US" w:eastAsia="zh-CN"/>
        </w:rPr>
        <w:t xml:space="preserve"> </w:t>
      </w:r>
      <w:r>
        <w:rPr>
          <w:rFonts w:hint="default" w:ascii="Times New Roman" w:hAnsi="Times New Roman" w:cs="Times New Roman"/>
          <w:sz w:val="18"/>
          <w:szCs w:val="18"/>
          <w:highlight w:val="none"/>
        </w:rPr>
        <w:t>(2018). https://doi.org/10.1037/abn0000362</w:t>
      </w:r>
    </w:p>
    <w:p w14:paraId="25980CDF">
      <w:pPr>
        <w:numPr>
          <w:ilvl w:val="0"/>
          <w:numId w:val="7"/>
        </w:numPr>
        <w:spacing w:after="80" w:line="276" w:lineRule="auto"/>
        <w:ind w:left="432" w:hanging="432"/>
        <w:rPr>
          <w:rFonts w:hint="default" w:ascii="Times New Roman" w:hAnsi="Times New Roman" w:cs="Times New Roman"/>
          <w:sz w:val="18"/>
          <w:szCs w:val="18"/>
          <w:highlight w:val="none"/>
        </w:rPr>
      </w:pPr>
      <w:r>
        <w:rPr>
          <w:rFonts w:hint="default" w:ascii="Times New Roman" w:hAnsi="Times New Roman" w:eastAsia="宋体" w:cs="Times New Roman"/>
          <w:sz w:val="18"/>
          <w:szCs w:val="18"/>
          <w:highlight w:val="none"/>
          <w:lang w:val="en-US" w:eastAsia="zh-CN"/>
        </w:rPr>
        <w:t xml:space="preserve"> </w:t>
      </w:r>
      <w:r>
        <w:rPr>
          <w:rFonts w:hint="default" w:ascii="Times New Roman" w:hAnsi="Times New Roman" w:cs="Times New Roman"/>
          <w:sz w:val="18"/>
          <w:szCs w:val="18"/>
          <w:highlight w:val="none"/>
        </w:rPr>
        <w:t xml:space="preserve">Sohn, S. Y., Rees, P., Wildridge, B., Kalk, N. J. &amp; Carter, B. Prevalence of problematic smartphone usage and associated mental health outcomes amongst children and young people: a systematic review, meta-analysis and GRADE of the evidence. </w:t>
      </w:r>
      <w:r>
        <w:rPr>
          <w:rFonts w:hint="default" w:ascii="Times New Roman" w:hAnsi="Times New Roman" w:cs="Times New Roman"/>
          <w:i/>
          <w:sz w:val="18"/>
          <w:szCs w:val="18"/>
          <w:highlight w:val="none"/>
        </w:rPr>
        <w:t xml:space="preserve">BMC Psychiatry </w:t>
      </w:r>
      <w:r>
        <w:rPr>
          <w:rFonts w:hint="default" w:ascii="Times New Roman" w:hAnsi="Times New Roman" w:cs="Times New Roman"/>
          <w:b/>
          <w:sz w:val="18"/>
          <w:szCs w:val="18"/>
          <w:highlight w:val="none"/>
        </w:rPr>
        <w:t>19</w:t>
      </w:r>
      <w:r>
        <w:rPr>
          <w:rFonts w:hint="default" w:ascii="Times New Roman" w:hAnsi="Times New Roman" w:cs="Times New Roman"/>
          <w:sz w:val="18"/>
          <w:szCs w:val="18"/>
          <w:highlight w:val="none"/>
        </w:rPr>
        <w:t>, 356</w:t>
      </w:r>
      <w:r>
        <w:rPr>
          <w:rFonts w:hint="default" w:ascii="Times New Roman" w:hAnsi="Times New Roman" w:eastAsia="宋体" w:cs="Times New Roman"/>
          <w:sz w:val="18"/>
          <w:szCs w:val="18"/>
          <w:highlight w:val="none"/>
          <w:lang w:val="en-US" w:eastAsia="zh-CN"/>
        </w:rPr>
        <w:t xml:space="preserve"> </w:t>
      </w:r>
      <w:r>
        <w:rPr>
          <w:rFonts w:hint="default" w:ascii="Times New Roman" w:hAnsi="Times New Roman" w:cs="Times New Roman"/>
          <w:sz w:val="18"/>
          <w:szCs w:val="18"/>
          <w:highlight w:val="none"/>
        </w:rPr>
        <w:t>(2019). https://doi.org/10.1186/s12888-019-2350-x</w:t>
      </w:r>
    </w:p>
    <w:p w14:paraId="55328DF8">
      <w:pPr>
        <w:spacing w:after="80" w:line="276" w:lineRule="auto"/>
        <w:ind w:left="432" w:hanging="432"/>
        <w:rPr>
          <w:rFonts w:hint="default" w:ascii="Times New Roman" w:hAnsi="Times New Roman" w:eastAsia="宋体" w:cs="Times New Roman"/>
          <w:sz w:val="18"/>
          <w:szCs w:val="18"/>
          <w:highlight w:val="none"/>
          <w:lang w:val="en-US" w:eastAsia="zh-CN"/>
        </w:rPr>
      </w:pPr>
      <w:r>
        <w:rPr>
          <w:rFonts w:hint="default" w:ascii="Times New Roman" w:hAnsi="Times New Roman" w:cs="Times New Roman"/>
          <w:sz w:val="18"/>
          <w:szCs w:val="18"/>
          <w:highlight w:val="none"/>
        </w:rPr>
        <w:t xml:space="preserve">3. Shiferaw, B. D. et al. Impact of digital addiction on youth health: a systematic review and meta-analysis. </w:t>
      </w:r>
      <w:r>
        <w:rPr>
          <w:rFonts w:hint="default" w:ascii="Times New Roman" w:hAnsi="Times New Roman" w:cs="Times New Roman"/>
          <w:i/>
          <w:sz w:val="18"/>
          <w:szCs w:val="18"/>
          <w:highlight w:val="none"/>
        </w:rPr>
        <w:t xml:space="preserve">J. Behav. Addict. </w:t>
      </w:r>
      <w:r>
        <w:rPr>
          <w:rFonts w:hint="default" w:ascii="Times New Roman" w:hAnsi="Times New Roman" w:cs="Times New Roman"/>
          <w:b/>
          <w:sz w:val="18"/>
          <w:szCs w:val="18"/>
          <w:highlight w:val="none"/>
        </w:rPr>
        <w:t>14</w:t>
      </w:r>
      <w:r>
        <w:rPr>
          <w:rFonts w:hint="default" w:ascii="Times New Roman" w:hAnsi="Times New Roman" w:cs="Times New Roman"/>
          <w:sz w:val="18"/>
          <w:szCs w:val="18"/>
          <w:highlight w:val="none"/>
        </w:rPr>
        <w:t>, 1129–1158</w:t>
      </w:r>
      <w:r>
        <w:rPr>
          <w:rFonts w:hint="default" w:ascii="Times New Roman" w:hAnsi="Times New Roman" w:eastAsia="宋体" w:cs="Times New Roman"/>
          <w:sz w:val="18"/>
          <w:szCs w:val="18"/>
          <w:highlight w:val="none"/>
          <w:lang w:val="en-US" w:eastAsia="zh-CN"/>
        </w:rPr>
        <w:t xml:space="preserve"> </w:t>
      </w:r>
      <w:r>
        <w:rPr>
          <w:rFonts w:hint="default" w:ascii="Times New Roman" w:hAnsi="Times New Roman" w:cs="Times New Roman"/>
          <w:sz w:val="18"/>
          <w:szCs w:val="18"/>
          <w:highlight w:val="none"/>
        </w:rPr>
        <w:t>(2025). https://doi.org/10.1556/2006.2025.00081</w:t>
      </w:r>
    </w:p>
    <w:p w14:paraId="0F7D3D76">
      <w:pPr>
        <w:spacing w:after="80" w:line="276" w:lineRule="auto"/>
        <w:ind w:left="432" w:hanging="432"/>
        <w:rPr>
          <w:rFonts w:hint="default" w:ascii="Times New Roman" w:hAnsi="Times New Roman" w:cs="Times New Roman"/>
          <w:sz w:val="18"/>
          <w:szCs w:val="18"/>
          <w:highlight w:val="none"/>
        </w:rPr>
      </w:pPr>
      <w:r>
        <w:rPr>
          <w:rFonts w:hint="default" w:ascii="Times New Roman" w:hAnsi="Times New Roman" w:cs="Times New Roman"/>
          <w:sz w:val="18"/>
          <w:szCs w:val="18"/>
          <w:highlight w:val="none"/>
        </w:rPr>
        <w:t>4. Elhai, J. D., Dvorak, R. D., Levine, J. C. &amp; Hall, B. J. Problematic smartphone use: a conceptual overview and systematic review of relations with anxiety and depression psychopathology.</w:t>
      </w:r>
      <w:r>
        <w:rPr>
          <w:rFonts w:hint="default" w:ascii="Times New Roman" w:hAnsi="Times New Roman" w:cs="Times New Roman"/>
          <w:i/>
          <w:iCs/>
          <w:sz w:val="18"/>
          <w:szCs w:val="18"/>
          <w:highlight w:val="none"/>
        </w:rPr>
        <w:t xml:space="preserve"> J. Affect. Disord. </w:t>
      </w:r>
      <w:r>
        <w:rPr>
          <w:rFonts w:hint="default" w:ascii="Times New Roman" w:hAnsi="Times New Roman" w:cs="Times New Roman"/>
          <w:b/>
          <w:bCs/>
          <w:sz w:val="18"/>
          <w:szCs w:val="18"/>
          <w:highlight w:val="none"/>
        </w:rPr>
        <w:t>207,</w:t>
      </w:r>
      <w:r>
        <w:rPr>
          <w:rFonts w:hint="default" w:ascii="Times New Roman" w:hAnsi="Times New Roman" w:cs="Times New Roman"/>
          <w:sz w:val="18"/>
          <w:szCs w:val="18"/>
          <w:highlight w:val="none"/>
        </w:rPr>
        <w:t xml:space="preserve"> 251–259</w:t>
      </w:r>
      <w:r>
        <w:rPr>
          <w:rFonts w:hint="default" w:ascii="Times New Roman" w:hAnsi="Times New Roman" w:eastAsia="宋体" w:cs="Times New Roman"/>
          <w:sz w:val="18"/>
          <w:szCs w:val="18"/>
          <w:highlight w:val="none"/>
          <w:lang w:val="en-US" w:eastAsia="zh-CN"/>
        </w:rPr>
        <w:t xml:space="preserve"> </w:t>
      </w:r>
      <w:r>
        <w:rPr>
          <w:rFonts w:hint="default" w:ascii="Times New Roman" w:hAnsi="Times New Roman" w:cs="Times New Roman"/>
          <w:sz w:val="18"/>
          <w:szCs w:val="18"/>
          <w:highlight w:val="none"/>
        </w:rPr>
        <w:t>(2017).</w:t>
      </w:r>
      <w:r>
        <w:rPr>
          <w:rFonts w:hint="default" w:ascii="Times New Roman" w:hAnsi="Times New Roman" w:eastAsia="宋体" w:cs="Times New Roman"/>
          <w:sz w:val="18"/>
          <w:szCs w:val="18"/>
          <w:highlight w:val="none"/>
          <w:lang w:val="en-US" w:eastAsia="zh-CN"/>
        </w:rPr>
        <w:t xml:space="preserve"> </w:t>
      </w:r>
      <w:r>
        <w:rPr>
          <w:rFonts w:hint="default" w:ascii="Times New Roman" w:hAnsi="Times New Roman" w:cs="Times New Roman"/>
          <w:sz w:val="18"/>
          <w:szCs w:val="18"/>
          <w:highlight w:val="none"/>
        </w:rPr>
        <w:t>https://doi.org/10.1016/j.jad.2016.08.030</w:t>
      </w:r>
    </w:p>
    <w:p w14:paraId="7F4D55AF">
      <w:pPr>
        <w:spacing w:after="80" w:line="276" w:lineRule="auto"/>
        <w:ind w:left="432" w:hanging="432"/>
        <w:rPr>
          <w:rFonts w:hint="default" w:ascii="Times New Roman" w:hAnsi="Times New Roman" w:cs="Times New Roman"/>
          <w:sz w:val="18"/>
          <w:szCs w:val="18"/>
          <w:highlight w:val="none"/>
        </w:rPr>
      </w:pPr>
      <w:r>
        <w:rPr>
          <w:rFonts w:hint="default" w:ascii="Times New Roman" w:hAnsi="Times New Roman" w:eastAsia="宋体" w:cs="Times New Roman"/>
          <w:sz w:val="18"/>
          <w:szCs w:val="18"/>
          <w:highlight w:val="none"/>
          <w:lang w:val="en-US" w:eastAsia="zh-CN"/>
        </w:rPr>
        <w:t>5</w:t>
      </w:r>
      <w:r>
        <w:rPr>
          <w:rFonts w:hint="default" w:ascii="Times New Roman" w:hAnsi="Times New Roman" w:cs="Times New Roman"/>
          <w:sz w:val="18"/>
          <w:szCs w:val="18"/>
          <w:highlight w:val="none"/>
        </w:rPr>
        <w:t xml:space="preserve">. Odgers, C. L. &amp; Jensen, M. R. Annual Research Review: adolescent mental health in the digital age: facts, fears, and future directions. </w:t>
      </w:r>
      <w:r>
        <w:rPr>
          <w:rFonts w:hint="default" w:ascii="Times New Roman" w:hAnsi="Times New Roman" w:cs="Times New Roman"/>
          <w:i/>
          <w:iCs/>
          <w:sz w:val="18"/>
          <w:szCs w:val="18"/>
          <w:highlight w:val="none"/>
        </w:rPr>
        <w:t>J. Child Psychol. Psychiatry</w:t>
      </w:r>
      <w:r>
        <w:rPr>
          <w:rFonts w:hint="default" w:ascii="Times New Roman" w:hAnsi="Times New Roman" w:cs="Times New Roman"/>
          <w:sz w:val="18"/>
          <w:szCs w:val="18"/>
          <w:highlight w:val="none"/>
        </w:rPr>
        <w:t xml:space="preserve"> </w:t>
      </w:r>
      <w:r>
        <w:rPr>
          <w:rFonts w:hint="default" w:ascii="Times New Roman" w:hAnsi="Times New Roman" w:cs="Times New Roman"/>
          <w:b/>
          <w:bCs/>
          <w:sz w:val="18"/>
          <w:szCs w:val="18"/>
          <w:highlight w:val="none"/>
        </w:rPr>
        <w:t>61,</w:t>
      </w:r>
      <w:r>
        <w:rPr>
          <w:rFonts w:hint="default" w:ascii="Times New Roman" w:hAnsi="Times New Roman" w:cs="Times New Roman"/>
          <w:sz w:val="18"/>
          <w:szCs w:val="18"/>
          <w:highlight w:val="none"/>
        </w:rPr>
        <w:t xml:space="preserve"> 336–34</w:t>
      </w:r>
      <w:r>
        <w:rPr>
          <w:rFonts w:hint="default" w:ascii="Times New Roman" w:hAnsi="Times New Roman" w:eastAsia="宋体" w:cs="Times New Roman"/>
          <w:sz w:val="18"/>
          <w:szCs w:val="18"/>
          <w:highlight w:val="none"/>
          <w:lang w:val="en-US" w:eastAsia="zh-CN"/>
        </w:rPr>
        <w:t xml:space="preserve">8 </w:t>
      </w:r>
      <w:r>
        <w:rPr>
          <w:rFonts w:hint="default" w:ascii="Times New Roman" w:hAnsi="Times New Roman" w:cs="Times New Roman"/>
          <w:sz w:val="18"/>
          <w:szCs w:val="18"/>
          <w:highlight w:val="none"/>
        </w:rPr>
        <w:t>(2020). https://doi.org/10.1111/jcpp.13190</w:t>
      </w:r>
    </w:p>
    <w:p w14:paraId="54DD1A67">
      <w:pPr>
        <w:spacing w:after="80" w:line="276" w:lineRule="auto"/>
        <w:ind w:left="432" w:hanging="432"/>
        <w:rPr>
          <w:rFonts w:hint="default" w:ascii="Times New Roman" w:hAnsi="Times New Roman" w:cs="Times New Roman"/>
          <w:sz w:val="18"/>
          <w:szCs w:val="18"/>
          <w:highlight w:val="none"/>
        </w:rPr>
      </w:pPr>
      <w:r>
        <w:rPr>
          <w:rFonts w:hint="default" w:ascii="Times New Roman" w:hAnsi="Times New Roman" w:eastAsia="宋体" w:cs="Times New Roman"/>
          <w:sz w:val="18"/>
          <w:szCs w:val="18"/>
          <w:highlight w:val="none"/>
          <w:lang w:val="en-US" w:eastAsia="zh-CN"/>
        </w:rPr>
        <w:t>6</w:t>
      </w:r>
      <w:r>
        <w:rPr>
          <w:rFonts w:hint="default" w:ascii="Times New Roman" w:hAnsi="Times New Roman" w:cs="Times New Roman"/>
          <w:sz w:val="18"/>
          <w:szCs w:val="18"/>
          <w:highlight w:val="none"/>
        </w:rPr>
        <w:t xml:space="preserve">. Boers, E., Afzali, M. H., Newton, N. &amp; Conrod, P. Association of screen time and depression in adolescence. </w:t>
      </w:r>
      <w:r>
        <w:rPr>
          <w:rFonts w:hint="default" w:ascii="Times New Roman" w:hAnsi="Times New Roman" w:cs="Times New Roman"/>
          <w:i/>
          <w:iCs/>
          <w:sz w:val="18"/>
          <w:szCs w:val="18"/>
          <w:highlight w:val="none"/>
        </w:rPr>
        <w:t xml:space="preserve">JAMA Pediatr. </w:t>
      </w:r>
      <w:r>
        <w:rPr>
          <w:rFonts w:hint="default" w:ascii="Times New Roman" w:hAnsi="Times New Roman" w:cs="Times New Roman"/>
          <w:b/>
          <w:bCs/>
          <w:sz w:val="18"/>
          <w:szCs w:val="18"/>
          <w:highlight w:val="none"/>
        </w:rPr>
        <w:t>173,</w:t>
      </w:r>
      <w:r>
        <w:rPr>
          <w:rFonts w:hint="default" w:ascii="Times New Roman" w:hAnsi="Times New Roman" w:cs="Times New Roman"/>
          <w:sz w:val="18"/>
          <w:szCs w:val="18"/>
          <w:highlight w:val="none"/>
        </w:rPr>
        <w:t xml:space="preserve"> 853–859 (2019). https://doi.org/10.1001/jamapediatrics.2019.1759</w:t>
      </w:r>
    </w:p>
    <w:p w14:paraId="414AB69D">
      <w:pPr>
        <w:spacing w:after="80" w:line="276" w:lineRule="auto"/>
        <w:ind w:left="432" w:hanging="432"/>
        <w:rPr>
          <w:rFonts w:hint="default" w:ascii="Times New Roman" w:hAnsi="Times New Roman" w:cs="Times New Roman"/>
          <w:sz w:val="18"/>
          <w:szCs w:val="18"/>
          <w:highlight w:val="none"/>
        </w:rPr>
      </w:pPr>
      <w:r>
        <w:rPr>
          <w:rFonts w:hint="default" w:ascii="Times New Roman" w:hAnsi="Times New Roman" w:eastAsia="宋体" w:cs="Times New Roman"/>
          <w:sz w:val="18"/>
          <w:szCs w:val="18"/>
          <w:highlight w:val="none"/>
          <w:lang w:val="en-US" w:eastAsia="zh-CN"/>
        </w:rPr>
        <w:t>7</w:t>
      </w:r>
      <w:r>
        <w:rPr>
          <w:rFonts w:hint="default" w:ascii="Times New Roman" w:hAnsi="Times New Roman" w:cs="Times New Roman"/>
          <w:sz w:val="18"/>
          <w:szCs w:val="18"/>
          <w:highlight w:val="none"/>
        </w:rPr>
        <w:t xml:space="preserve">. Lemola, S., Perkinson-Gloor, N., Brand, S., Dewald-Kaufmann, J. F. &amp; Grob, A. Adolescents’ electronic media use at night, sleep disturbance, and depressive symptoms in the smartphone age. </w:t>
      </w:r>
      <w:r>
        <w:rPr>
          <w:rFonts w:hint="default" w:ascii="Times New Roman" w:hAnsi="Times New Roman" w:cs="Times New Roman"/>
          <w:i/>
          <w:iCs/>
          <w:sz w:val="18"/>
          <w:szCs w:val="18"/>
          <w:highlight w:val="none"/>
        </w:rPr>
        <w:t>J. Youth Adolesc.</w:t>
      </w:r>
      <w:r>
        <w:rPr>
          <w:rFonts w:hint="default" w:ascii="Times New Roman" w:hAnsi="Times New Roman" w:cs="Times New Roman"/>
          <w:sz w:val="18"/>
          <w:szCs w:val="18"/>
          <w:highlight w:val="none"/>
        </w:rPr>
        <w:t xml:space="preserve"> </w:t>
      </w:r>
      <w:r>
        <w:rPr>
          <w:rFonts w:hint="default" w:ascii="Times New Roman" w:hAnsi="Times New Roman" w:cs="Times New Roman"/>
          <w:b/>
          <w:bCs/>
          <w:sz w:val="18"/>
          <w:szCs w:val="18"/>
          <w:highlight w:val="none"/>
        </w:rPr>
        <w:t>44,</w:t>
      </w:r>
      <w:r>
        <w:rPr>
          <w:rFonts w:hint="default" w:ascii="Times New Roman" w:hAnsi="Times New Roman" w:cs="Times New Roman"/>
          <w:sz w:val="18"/>
          <w:szCs w:val="18"/>
          <w:highlight w:val="none"/>
        </w:rPr>
        <w:t xml:space="preserve"> 405–418 (2015). https://doi.org/10.1007/s10964-014-0176-x</w:t>
      </w:r>
    </w:p>
    <w:p w14:paraId="6A4C6CAA">
      <w:pPr>
        <w:spacing w:after="80" w:line="276" w:lineRule="auto"/>
        <w:ind w:left="432" w:hanging="432"/>
        <w:rPr>
          <w:rFonts w:hint="default" w:ascii="Times New Roman" w:hAnsi="Times New Roman" w:cs="Times New Roman"/>
          <w:sz w:val="18"/>
          <w:szCs w:val="18"/>
          <w:highlight w:val="none"/>
        </w:rPr>
      </w:pPr>
      <w:r>
        <w:rPr>
          <w:rFonts w:hint="default" w:ascii="Times New Roman" w:hAnsi="Times New Roman" w:eastAsia="宋体" w:cs="Times New Roman"/>
          <w:sz w:val="18"/>
          <w:szCs w:val="18"/>
          <w:highlight w:val="none"/>
          <w:lang w:val="en-US" w:eastAsia="zh-CN"/>
        </w:rPr>
        <w:t>8</w:t>
      </w:r>
      <w:r>
        <w:rPr>
          <w:rFonts w:hint="default" w:ascii="Times New Roman" w:hAnsi="Times New Roman" w:cs="Times New Roman"/>
          <w:sz w:val="18"/>
          <w:szCs w:val="18"/>
          <w:highlight w:val="none"/>
        </w:rPr>
        <w:t xml:space="preserve">. Elhai, J. D., Yang, H., Fang, J., Bai, X. &amp; Hall, B. J. Depression and anxiety symptoms are related to problematic smartphone use severity in Chinese young adults: fear of missing out as a mediator. </w:t>
      </w:r>
      <w:r>
        <w:rPr>
          <w:rFonts w:hint="default" w:ascii="Times New Roman" w:hAnsi="Times New Roman" w:cs="Times New Roman"/>
          <w:i/>
          <w:iCs/>
          <w:sz w:val="18"/>
          <w:szCs w:val="18"/>
          <w:highlight w:val="none"/>
        </w:rPr>
        <w:t>Addict. Behav.</w:t>
      </w:r>
      <w:r>
        <w:rPr>
          <w:rFonts w:hint="default" w:ascii="Times New Roman" w:hAnsi="Times New Roman" w:cs="Times New Roman"/>
          <w:b/>
          <w:bCs/>
          <w:sz w:val="18"/>
          <w:szCs w:val="18"/>
          <w:highlight w:val="none"/>
        </w:rPr>
        <w:t xml:space="preserve"> 101,</w:t>
      </w:r>
      <w:r>
        <w:rPr>
          <w:rFonts w:hint="default" w:ascii="Times New Roman" w:hAnsi="Times New Roman" w:cs="Times New Roman"/>
          <w:sz w:val="18"/>
          <w:szCs w:val="18"/>
          <w:highlight w:val="none"/>
        </w:rPr>
        <w:t xml:space="preserve"> 105962 (2020). https://doi.org/10.1016/j.addbeh.2019.04.020</w:t>
      </w:r>
    </w:p>
    <w:p w14:paraId="10F1A87A">
      <w:pPr>
        <w:spacing w:after="80" w:line="276" w:lineRule="auto"/>
        <w:ind w:left="432" w:hanging="432"/>
        <w:rPr>
          <w:rFonts w:hint="default" w:ascii="Times New Roman" w:hAnsi="Times New Roman" w:cs="Times New Roman"/>
          <w:sz w:val="18"/>
          <w:szCs w:val="18"/>
          <w:highlight w:val="none"/>
        </w:rPr>
      </w:pPr>
      <w:r>
        <w:rPr>
          <w:rFonts w:hint="default" w:ascii="Times New Roman" w:hAnsi="Times New Roman" w:eastAsia="宋体" w:cs="Times New Roman"/>
          <w:sz w:val="18"/>
          <w:szCs w:val="18"/>
          <w:highlight w:val="none"/>
          <w:lang w:val="en-US" w:eastAsia="zh-CN"/>
        </w:rPr>
        <w:t>9</w:t>
      </w:r>
      <w:r>
        <w:rPr>
          <w:rFonts w:hint="default" w:ascii="Times New Roman" w:hAnsi="Times New Roman" w:cs="Times New Roman"/>
          <w:sz w:val="18"/>
          <w:szCs w:val="18"/>
          <w:highlight w:val="none"/>
        </w:rPr>
        <w:t>. Alimoradi, Z. et al. Internet addiction and sleep problems: a systematic review and meta-analysis.</w:t>
      </w:r>
      <w:r>
        <w:rPr>
          <w:rFonts w:hint="default" w:ascii="Times New Roman" w:hAnsi="Times New Roman" w:cs="Times New Roman"/>
          <w:i/>
          <w:iCs/>
          <w:sz w:val="18"/>
          <w:szCs w:val="18"/>
          <w:highlight w:val="none"/>
        </w:rPr>
        <w:t xml:space="preserve"> Sleep Med. Rev.</w:t>
      </w:r>
      <w:r>
        <w:rPr>
          <w:rFonts w:hint="default" w:ascii="Times New Roman" w:hAnsi="Times New Roman" w:cs="Times New Roman"/>
          <w:b/>
          <w:bCs/>
          <w:sz w:val="18"/>
          <w:szCs w:val="18"/>
          <w:highlight w:val="none"/>
        </w:rPr>
        <w:t xml:space="preserve"> 47,</w:t>
      </w:r>
      <w:r>
        <w:rPr>
          <w:rFonts w:hint="default" w:ascii="Times New Roman" w:hAnsi="Times New Roman" w:cs="Times New Roman"/>
          <w:sz w:val="18"/>
          <w:szCs w:val="18"/>
          <w:highlight w:val="none"/>
        </w:rPr>
        <w:t xml:space="preserve"> 51–61 (2019). </w:t>
      </w:r>
      <w:r>
        <w:rPr>
          <w:rFonts w:hint="default" w:ascii="Times New Roman" w:hAnsi="Times New Roman" w:cs="Times New Roman"/>
          <w:sz w:val="18"/>
          <w:szCs w:val="18"/>
          <w:highlight w:val="none"/>
        </w:rPr>
        <w:fldChar w:fldCharType="begin"/>
      </w:r>
      <w:r>
        <w:rPr>
          <w:rFonts w:hint="default" w:ascii="Times New Roman" w:hAnsi="Times New Roman" w:cs="Times New Roman"/>
          <w:sz w:val="18"/>
          <w:szCs w:val="18"/>
          <w:highlight w:val="none"/>
        </w:rPr>
        <w:instrText xml:space="preserve"> HYPERLINK "https://doi.org/10.1016/j.smrv.2019.06.004" </w:instrText>
      </w:r>
      <w:r>
        <w:rPr>
          <w:rFonts w:hint="default" w:ascii="Times New Roman" w:hAnsi="Times New Roman" w:cs="Times New Roman"/>
          <w:sz w:val="18"/>
          <w:szCs w:val="18"/>
          <w:highlight w:val="none"/>
        </w:rPr>
        <w:fldChar w:fldCharType="separate"/>
      </w:r>
      <w:r>
        <w:rPr>
          <w:rFonts w:hint="default" w:ascii="Times New Roman" w:hAnsi="Times New Roman" w:cs="Times New Roman"/>
          <w:sz w:val="18"/>
          <w:szCs w:val="18"/>
          <w:highlight w:val="none"/>
        </w:rPr>
        <w:t>https://doi.org/10.1016/j.smrv.2019.06.004</w:t>
      </w:r>
      <w:r>
        <w:rPr>
          <w:rFonts w:hint="default" w:ascii="Times New Roman" w:hAnsi="Times New Roman" w:cs="Times New Roman"/>
          <w:sz w:val="18"/>
          <w:szCs w:val="18"/>
          <w:highlight w:val="none"/>
        </w:rPr>
        <w:fldChar w:fldCharType="end"/>
      </w:r>
    </w:p>
    <w:p w14:paraId="59AC00AF">
      <w:pPr>
        <w:spacing w:after="80" w:line="276" w:lineRule="auto"/>
        <w:ind w:left="432" w:hanging="432"/>
        <w:rPr>
          <w:rFonts w:hint="default" w:ascii="Times New Roman" w:hAnsi="Times New Roman" w:cs="Times New Roman"/>
          <w:sz w:val="18"/>
          <w:szCs w:val="18"/>
          <w:highlight w:val="none"/>
        </w:rPr>
      </w:pPr>
      <w:r>
        <w:rPr>
          <w:rFonts w:hint="default" w:ascii="Times New Roman" w:hAnsi="Times New Roman" w:eastAsia="宋体" w:cs="Times New Roman"/>
          <w:sz w:val="18"/>
          <w:szCs w:val="18"/>
          <w:highlight w:val="none"/>
          <w:lang w:val="en-US" w:eastAsia="zh-CN"/>
        </w:rPr>
        <w:t>10</w:t>
      </w:r>
      <w:r>
        <w:rPr>
          <w:rFonts w:hint="default" w:ascii="Times New Roman" w:hAnsi="Times New Roman" w:cs="Times New Roman"/>
          <w:sz w:val="18"/>
          <w:szCs w:val="18"/>
          <w:highlight w:val="none"/>
        </w:rPr>
        <w:t xml:space="preserve">. Orben, A. &amp; Przybylski, A. K. The association between adolescent well-being and digital technology use. </w:t>
      </w:r>
      <w:r>
        <w:rPr>
          <w:rFonts w:hint="default" w:ascii="Times New Roman" w:hAnsi="Times New Roman" w:cs="Times New Roman"/>
          <w:i/>
          <w:iCs/>
          <w:sz w:val="18"/>
          <w:szCs w:val="18"/>
          <w:highlight w:val="none"/>
        </w:rPr>
        <w:t xml:space="preserve">Nat. Hum. Behav. </w:t>
      </w:r>
      <w:r>
        <w:rPr>
          <w:rFonts w:hint="default" w:ascii="Times New Roman" w:hAnsi="Times New Roman" w:cs="Times New Roman"/>
          <w:b/>
          <w:bCs/>
          <w:sz w:val="18"/>
          <w:szCs w:val="18"/>
          <w:highlight w:val="none"/>
        </w:rPr>
        <w:t xml:space="preserve">3, </w:t>
      </w:r>
      <w:r>
        <w:rPr>
          <w:rFonts w:hint="default" w:ascii="Times New Roman" w:hAnsi="Times New Roman" w:cs="Times New Roman"/>
          <w:sz w:val="18"/>
          <w:szCs w:val="18"/>
          <w:highlight w:val="none"/>
        </w:rPr>
        <w:t>173–182</w:t>
      </w:r>
      <w:r>
        <w:rPr>
          <w:rFonts w:hint="default" w:ascii="Times New Roman" w:hAnsi="Times New Roman" w:eastAsia="宋体" w:cs="Times New Roman"/>
          <w:sz w:val="18"/>
          <w:szCs w:val="18"/>
          <w:highlight w:val="none"/>
          <w:lang w:val="en-US" w:eastAsia="zh-CN"/>
        </w:rPr>
        <w:t xml:space="preserve"> </w:t>
      </w:r>
      <w:r>
        <w:rPr>
          <w:rFonts w:hint="default" w:ascii="Times New Roman" w:hAnsi="Times New Roman" w:cs="Times New Roman"/>
          <w:sz w:val="18"/>
          <w:szCs w:val="18"/>
          <w:highlight w:val="none"/>
        </w:rPr>
        <w:t>(2019). https://doi.org/10.1038/s41562-018-0506-1</w:t>
      </w:r>
    </w:p>
    <w:p w14:paraId="05DE90FC">
      <w:pPr>
        <w:spacing w:after="80" w:line="276" w:lineRule="auto"/>
        <w:ind w:left="432" w:hanging="432"/>
        <w:rPr>
          <w:rFonts w:hint="default" w:ascii="Times New Roman" w:hAnsi="Times New Roman" w:cs="Times New Roman"/>
          <w:sz w:val="18"/>
          <w:szCs w:val="18"/>
          <w:highlight w:val="none"/>
        </w:rPr>
      </w:pPr>
      <w:r>
        <w:rPr>
          <w:rFonts w:hint="default" w:ascii="Times New Roman" w:hAnsi="Times New Roman" w:eastAsia="宋体" w:cs="Times New Roman"/>
          <w:sz w:val="18"/>
          <w:szCs w:val="18"/>
          <w:highlight w:val="none"/>
          <w:lang w:val="en-US" w:eastAsia="zh-CN"/>
        </w:rPr>
        <w:t>11</w:t>
      </w:r>
      <w:r>
        <w:rPr>
          <w:rFonts w:hint="default" w:ascii="Times New Roman" w:hAnsi="Times New Roman" w:cs="Times New Roman"/>
          <w:sz w:val="18"/>
          <w:szCs w:val="18"/>
          <w:highlight w:val="none"/>
        </w:rPr>
        <w:t>. Roberston, L., Twenge, J. M., Joiner, T. E. &amp; Cummins, K. Associations between screen time and internalizing disorder diagnoses among 9- to 10-year-olds.</w:t>
      </w:r>
      <w:r>
        <w:rPr>
          <w:rFonts w:hint="default" w:ascii="Times New Roman" w:hAnsi="Times New Roman" w:cs="Times New Roman"/>
          <w:i/>
          <w:iCs/>
          <w:sz w:val="18"/>
          <w:szCs w:val="18"/>
          <w:highlight w:val="none"/>
        </w:rPr>
        <w:t xml:space="preserve"> J. Affect. Disord.</w:t>
      </w:r>
      <w:r>
        <w:rPr>
          <w:rFonts w:hint="default" w:ascii="Times New Roman" w:hAnsi="Times New Roman" w:cs="Times New Roman"/>
          <w:sz w:val="18"/>
          <w:szCs w:val="18"/>
          <w:highlight w:val="none"/>
        </w:rPr>
        <w:t xml:space="preserve"> </w:t>
      </w:r>
      <w:r>
        <w:rPr>
          <w:rFonts w:hint="default" w:ascii="Times New Roman" w:hAnsi="Times New Roman" w:cs="Times New Roman"/>
          <w:b/>
          <w:bCs/>
          <w:sz w:val="18"/>
          <w:szCs w:val="18"/>
          <w:highlight w:val="none"/>
        </w:rPr>
        <w:t xml:space="preserve">311, </w:t>
      </w:r>
      <w:r>
        <w:rPr>
          <w:rFonts w:hint="default" w:ascii="Times New Roman" w:hAnsi="Times New Roman" w:cs="Times New Roman"/>
          <w:sz w:val="18"/>
          <w:szCs w:val="18"/>
          <w:highlight w:val="none"/>
        </w:rPr>
        <w:t>530–537</w:t>
      </w:r>
      <w:r>
        <w:rPr>
          <w:rFonts w:hint="default" w:ascii="Times New Roman" w:hAnsi="Times New Roman" w:eastAsia="宋体" w:cs="Times New Roman"/>
          <w:sz w:val="18"/>
          <w:szCs w:val="18"/>
          <w:highlight w:val="none"/>
          <w:lang w:val="en-US" w:eastAsia="zh-CN"/>
        </w:rPr>
        <w:t xml:space="preserve"> </w:t>
      </w:r>
      <w:r>
        <w:rPr>
          <w:rFonts w:hint="default" w:ascii="Times New Roman" w:hAnsi="Times New Roman" w:cs="Times New Roman"/>
          <w:sz w:val="18"/>
          <w:szCs w:val="18"/>
          <w:highlight w:val="none"/>
        </w:rPr>
        <w:t>(2022). https://doi.org/10.1016/j.jad.2022.05.071</w:t>
      </w:r>
    </w:p>
    <w:p w14:paraId="21D90752">
      <w:pPr>
        <w:spacing w:after="80" w:line="276" w:lineRule="auto"/>
        <w:ind w:left="432" w:hanging="432"/>
        <w:rPr>
          <w:rFonts w:hint="default" w:ascii="Times New Roman" w:hAnsi="Times New Roman" w:cs="Times New Roman"/>
          <w:sz w:val="18"/>
          <w:szCs w:val="18"/>
          <w:highlight w:val="none"/>
        </w:rPr>
      </w:pPr>
      <w:r>
        <w:rPr>
          <w:rFonts w:hint="default" w:ascii="Times New Roman" w:hAnsi="Times New Roman" w:cs="Times New Roman"/>
          <w:sz w:val="18"/>
          <w:szCs w:val="18"/>
          <w:highlight w:val="none"/>
        </w:rPr>
        <w:t>12. Borsboom, D. A network theory of mental disorders.</w:t>
      </w:r>
      <w:r>
        <w:rPr>
          <w:rFonts w:hint="default" w:ascii="Times New Roman" w:hAnsi="Times New Roman" w:cs="Times New Roman"/>
          <w:i/>
          <w:iCs/>
          <w:sz w:val="18"/>
          <w:szCs w:val="18"/>
          <w:highlight w:val="none"/>
        </w:rPr>
        <w:t xml:space="preserve"> World Psychiatry</w:t>
      </w:r>
      <w:r>
        <w:rPr>
          <w:rFonts w:hint="default" w:ascii="Times New Roman" w:hAnsi="Times New Roman" w:cs="Times New Roman"/>
          <w:b/>
          <w:bCs/>
          <w:sz w:val="18"/>
          <w:szCs w:val="18"/>
          <w:highlight w:val="none"/>
        </w:rPr>
        <w:t xml:space="preserve"> 16,</w:t>
      </w:r>
      <w:r>
        <w:rPr>
          <w:rFonts w:hint="default" w:ascii="Times New Roman" w:hAnsi="Times New Roman" w:cs="Times New Roman"/>
          <w:sz w:val="18"/>
          <w:szCs w:val="18"/>
          <w:highlight w:val="none"/>
        </w:rPr>
        <w:t xml:space="preserve"> 5–13 (2017). https://doi.org/10.1002/wps.20375</w:t>
      </w:r>
    </w:p>
    <w:p w14:paraId="1DFA94B5">
      <w:pPr>
        <w:spacing w:after="80" w:line="276" w:lineRule="auto"/>
        <w:ind w:left="432" w:hanging="432"/>
        <w:rPr>
          <w:rFonts w:hint="default" w:ascii="Times New Roman" w:hAnsi="Times New Roman" w:cs="Times New Roman"/>
          <w:sz w:val="18"/>
          <w:szCs w:val="18"/>
          <w:highlight w:val="none"/>
        </w:rPr>
      </w:pPr>
      <w:r>
        <w:rPr>
          <w:rFonts w:hint="default" w:ascii="Times New Roman" w:hAnsi="Times New Roman" w:cs="Times New Roman"/>
          <w:sz w:val="18"/>
          <w:szCs w:val="18"/>
          <w:highlight w:val="none"/>
        </w:rPr>
        <w:t>13. Bringmann, L. F. et al. Psychopathological networks: theory, methods and practice.</w:t>
      </w:r>
      <w:r>
        <w:rPr>
          <w:rFonts w:hint="default" w:ascii="Times New Roman" w:hAnsi="Times New Roman" w:cs="Times New Roman"/>
          <w:i/>
          <w:iCs/>
          <w:sz w:val="18"/>
          <w:szCs w:val="18"/>
          <w:highlight w:val="none"/>
        </w:rPr>
        <w:t xml:space="preserve"> Behav. Res. Ther. </w:t>
      </w:r>
      <w:r>
        <w:rPr>
          <w:rFonts w:hint="default" w:ascii="Times New Roman" w:hAnsi="Times New Roman" w:cs="Times New Roman"/>
          <w:b/>
          <w:bCs/>
          <w:sz w:val="18"/>
          <w:szCs w:val="18"/>
          <w:highlight w:val="none"/>
        </w:rPr>
        <w:t>149,</w:t>
      </w:r>
      <w:r>
        <w:rPr>
          <w:rFonts w:hint="default" w:ascii="Times New Roman" w:hAnsi="Times New Roman" w:cs="Times New Roman"/>
          <w:sz w:val="18"/>
          <w:szCs w:val="18"/>
          <w:highlight w:val="none"/>
        </w:rPr>
        <w:t xml:space="preserve"> 104011 (2022). https://doi.org/10.1016/j.brat.2021.104011</w:t>
      </w:r>
    </w:p>
    <w:p w14:paraId="312794E8">
      <w:pPr>
        <w:spacing w:after="80" w:line="276" w:lineRule="auto"/>
        <w:ind w:left="432" w:hanging="432"/>
        <w:rPr>
          <w:rFonts w:hint="default" w:ascii="Times New Roman" w:hAnsi="Times New Roman" w:cs="Times New Roman"/>
          <w:sz w:val="18"/>
          <w:szCs w:val="18"/>
          <w:highlight w:val="none"/>
        </w:rPr>
      </w:pPr>
      <w:r>
        <w:rPr>
          <w:rFonts w:hint="default" w:ascii="Times New Roman" w:hAnsi="Times New Roman" w:cs="Times New Roman"/>
          <w:sz w:val="18"/>
          <w:szCs w:val="18"/>
          <w:highlight w:val="none"/>
        </w:rPr>
        <w:t xml:space="preserve">14. Cramer, A. O. J., Waldorp, L. J., van der Maas, H. L. J. &amp; Borsboom, D. Comorbidity: a network perspective. </w:t>
      </w:r>
      <w:r>
        <w:rPr>
          <w:rFonts w:hint="default" w:ascii="Times New Roman" w:hAnsi="Times New Roman" w:cs="Times New Roman"/>
          <w:i/>
          <w:iCs/>
          <w:sz w:val="18"/>
          <w:szCs w:val="18"/>
          <w:highlight w:val="none"/>
        </w:rPr>
        <w:t>Behav. Brain Sci.</w:t>
      </w:r>
      <w:r>
        <w:rPr>
          <w:rFonts w:hint="default" w:ascii="Times New Roman" w:hAnsi="Times New Roman" w:cs="Times New Roman"/>
          <w:sz w:val="18"/>
          <w:szCs w:val="18"/>
          <w:highlight w:val="none"/>
        </w:rPr>
        <w:t xml:space="preserve"> </w:t>
      </w:r>
      <w:r>
        <w:rPr>
          <w:rFonts w:hint="default" w:ascii="Times New Roman" w:hAnsi="Times New Roman" w:cs="Times New Roman"/>
          <w:b/>
          <w:bCs/>
          <w:sz w:val="18"/>
          <w:szCs w:val="18"/>
          <w:highlight w:val="none"/>
        </w:rPr>
        <w:t xml:space="preserve">33, </w:t>
      </w:r>
      <w:r>
        <w:rPr>
          <w:rFonts w:hint="default" w:ascii="Times New Roman" w:hAnsi="Times New Roman" w:cs="Times New Roman"/>
          <w:sz w:val="18"/>
          <w:szCs w:val="18"/>
          <w:highlight w:val="none"/>
        </w:rPr>
        <w:t>137–150 (2010). https://doi.org/10.1017/S0140525X09991567</w:t>
      </w:r>
    </w:p>
    <w:p w14:paraId="5688681D">
      <w:pPr>
        <w:spacing w:after="80" w:line="276" w:lineRule="auto"/>
        <w:ind w:left="432" w:hanging="432"/>
        <w:rPr>
          <w:rFonts w:hint="default" w:ascii="Times New Roman" w:hAnsi="Times New Roman" w:cs="Times New Roman"/>
          <w:sz w:val="18"/>
          <w:szCs w:val="18"/>
          <w:highlight w:val="none"/>
        </w:rPr>
      </w:pPr>
      <w:r>
        <w:rPr>
          <w:rFonts w:hint="default" w:ascii="Times New Roman" w:hAnsi="Times New Roman" w:cs="Times New Roman"/>
          <w:sz w:val="18"/>
          <w:szCs w:val="18"/>
          <w:highlight w:val="none"/>
        </w:rPr>
        <w:t xml:space="preserve">15. Robinaugh, D. J., Hoekstra, R. H. A., Toner, E. R. &amp; Borsboom, D. The network approach to psychopathology: a review of the literature 2008–2018 and an agenda for future research. </w:t>
      </w:r>
      <w:r>
        <w:rPr>
          <w:rFonts w:hint="default" w:ascii="Times New Roman" w:hAnsi="Times New Roman" w:cs="Times New Roman"/>
          <w:i/>
          <w:iCs/>
          <w:sz w:val="18"/>
          <w:szCs w:val="18"/>
          <w:highlight w:val="none"/>
        </w:rPr>
        <w:t>Psychol. Med.</w:t>
      </w:r>
      <w:r>
        <w:rPr>
          <w:rFonts w:hint="default" w:ascii="Times New Roman" w:hAnsi="Times New Roman" w:cs="Times New Roman"/>
          <w:sz w:val="18"/>
          <w:szCs w:val="18"/>
          <w:highlight w:val="none"/>
        </w:rPr>
        <w:t xml:space="preserve"> </w:t>
      </w:r>
      <w:r>
        <w:rPr>
          <w:rFonts w:hint="default" w:ascii="Times New Roman" w:hAnsi="Times New Roman" w:cs="Times New Roman"/>
          <w:b/>
          <w:bCs/>
          <w:sz w:val="18"/>
          <w:szCs w:val="18"/>
          <w:highlight w:val="none"/>
        </w:rPr>
        <w:t>50,</w:t>
      </w:r>
      <w:r>
        <w:rPr>
          <w:rFonts w:hint="default" w:ascii="Times New Roman" w:hAnsi="Times New Roman" w:cs="Times New Roman"/>
          <w:sz w:val="18"/>
          <w:szCs w:val="18"/>
          <w:highlight w:val="none"/>
        </w:rPr>
        <w:t xml:space="preserve"> 353–366 (2020). https://doi.org/10.1017/S0033291719003404</w:t>
      </w:r>
    </w:p>
    <w:p w14:paraId="4A0F0696">
      <w:pPr>
        <w:spacing w:after="80" w:line="276" w:lineRule="auto"/>
        <w:ind w:left="432" w:hanging="432"/>
        <w:rPr>
          <w:rFonts w:hint="default" w:ascii="Times New Roman" w:hAnsi="Times New Roman" w:cs="Times New Roman"/>
          <w:sz w:val="18"/>
          <w:szCs w:val="18"/>
          <w:highlight w:val="none"/>
        </w:rPr>
      </w:pPr>
      <w:r>
        <w:rPr>
          <w:rFonts w:hint="default" w:ascii="Times New Roman" w:hAnsi="Times New Roman" w:cs="Times New Roman"/>
          <w:sz w:val="18"/>
          <w:szCs w:val="18"/>
          <w:highlight w:val="none"/>
        </w:rPr>
        <w:t>16. Monteleone, A. M. &amp; Cascino, G. A systematic review of network analysis studies in eating disorders: is time to broaden the core psychopathology to non-specific symptoms.</w:t>
      </w:r>
      <w:r>
        <w:rPr>
          <w:rFonts w:hint="default" w:ascii="Times New Roman" w:hAnsi="Times New Roman" w:cs="Times New Roman"/>
          <w:i/>
          <w:iCs/>
          <w:sz w:val="18"/>
          <w:szCs w:val="18"/>
          <w:highlight w:val="none"/>
        </w:rPr>
        <w:t xml:space="preserve"> Eur. Eat. Disord. Rev.</w:t>
      </w:r>
      <w:r>
        <w:rPr>
          <w:rFonts w:hint="default" w:ascii="Times New Roman" w:hAnsi="Times New Roman" w:cs="Times New Roman"/>
          <w:sz w:val="18"/>
          <w:szCs w:val="18"/>
          <w:highlight w:val="none"/>
        </w:rPr>
        <w:t xml:space="preserve"> </w:t>
      </w:r>
      <w:r>
        <w:rPr>
          <w:rFonts w:hint="default" w:ascii="Times New Roman" w:hAnsi="Times New Roman" w:cs="Times New Roman"/>
          <w:b/>
          <w:bCs/>
          <w:sz w:val="18"/>
          <w:szCs w:val="18"/>
          <w:highlight w:val="none"/>
        </w:rPr>
        <w:t>29,</w:t>
      </w:r>
      <w:r>
        <w:rPr>
          <w:rFonts w:hint="default" w:ascii="Times New Roman" w:hAnsi="Times New Roman" w:cs="Times New Roman"/>
          <w:sz w:val="18"/>
          <w:szCs w:val="18"/>
          <w:highlight w:val="none"/>
        </w:rPr>
        <w:t xml:space="preserve"> 531–547 (2021). https://doi.org/10.1002/erv.2834</w:t>
      </w:r>
    </w:p>
    <w:p w14:paraId="3D7C9178">
      <w:pPr>
        <w:spacing w:after="80" w:line="276" w:lineRule="auto"/>
        <w:ind w:left="432" w:hanging="432"/>
        <w:rPr>
          <w:rFonts w:hint="default" w:ascii="Times New Roman" w:hAnsi="Times New Roman" w:cs="Times New Roman"/>
          <w:sz w:val="18"/>
          <w:szCs w:val="18"/>
          <w:highlight w:val="none"/>
        </w:rPr>
      </w:pPr>
      <w:r>
        <w:rPr>
          <w:rFonts w:hint="default" w:ascii="Times New Roman" w:hAnsi="Times New Roman" w:cs="Times New Roman"/>
          <w:sz w:val="18"/>
          <w:szCs w:val="18"/>
          <w:highlight w:val="none"/>
        </w:rPr>
        <w:t>17.</w:t>
      </w:r>
      <w:r>
        <w:rPr>
          <w:rFonts w:hint="default" w:ascii="Times New Roman" w:hAnsi="Times New Roman" w:eastAsia="宋体" w:cs="Times New Roman"/>
          <w:sz w:val="18"/>
          <w:szCs w:val="18"/>
          <w:highlight w:val="none"/>
          <w:lang w:val="en-US" w:eastAsia="zh-CN"/>
        </w:rPr>
        <w:t xml:space="preserve"> </w:t>
      </w:r>
      <w:r>
        <w:rPr>
          <w:rFonts w:hint="default" w:ascii="Times New Roman" w:hAnsi="Times New Roman" w:cs="Times New Roman"/>
          <w:sz w:val="18"/>
          <w:szCs w:val="18"/>
          <w:highlight w:val="none"/>
        </w:rPr>
        <w:t>Heeren, A., Jones, P. J. &amp; McNally, R. J. Mapping network connectivity among symptoms of social anxiety and comorbid depression in people with social anxiety disorder.</w:t>
      </w:r>
      <w:r>
        <w:rPr>
          <w:rFonts w:hint="default" w:ascii="Times New Roman" w:hAnsi="Times New Roman" w:cs="Times New Roman"/>
          <w:i/>
          <w:iCs/>
          <w:sz w:val="18"/>
          <w:szCs w:val="18"/>
          <w:highlight w:val="none"/>
        </w:rPr>
        <w:t xml:space="preserve"> J. Affect. Disord.</w:t>
      </w:r>
      <w:r>
        <w:rPr>
          <w:rFonts w:hint="default" w:ascii="Times New Roman" w:hAnsi="Times New Roman" w:cs="Times New Roman"/>
          <w:sz w:val="18"/>
          <w:szCs w:val="18"/>
          <w:highlight w:val="none"/>
        </w:rPr>
        <w:t xml:space="preserve"> </w:t>
      </w:r>
      <w:r>
        <w:rPr>
          <w:rFonts w:hint="default" w:ascii="Times New Roman" w:hAnsi="Times New Roman" w:cs="Times New Roman"/>
          <w:b/>
          <w:bCs/>
          <w:sz w:val="18"/>
          <w:szCs w:val="18"/>
          <w:highlight w:val="none"/>
        </w:rPr>
        <w:t>228,</w:t>
      </w:r>
      <w:r>
        <w:rPr>
          <w:rFonts w:hint="default" w:ascii="Times New Roman" w:hAnsi="Times New Roman" w:cs="Times New Roman"/>
          <w:sz w:val="18"/>
          <w:szCs w:val="18"/>
          <w:highlight w:val="none"/>
        </w:rPr>
        <w:t xml:space="preserve"> 75–82 (2018). https://doi.org/10.1016/j.jad.2017.12.003</w:t>
      </w:r>
    </w:p>
    <w:p w14:paraId="24165AF8">
      <w:pPr>
        <w:spacing w:after="80" w:line="276" w:lineRule="auto"/>
        <w:ind w:left="432" w:hanging="432"/>
        <w:rPr>
          <w:rFonts w:hint="default" w:ascii="Times New Roman" w:hAnsi="Times New Roman" w:cs="Times New Roman"/>
          <w:sz w:val="18"/>
          <w:szCs w:val="18"/>
          <w:highlight w:val="none"/>
        </w:rPr>
      </w:pPr>
      <w:r>
        <w:rPr>
          <w:rFonts w:hint="default" w:ascii="Times New Roman" w:hAnsi="Times New Roman" w:cs="Times New Roman"/>
          <w:sz w:val="18"/>
          <w:szCs w:val="18"/>
          <w:highlight w:val="none"/>
        </w:rPr>
        <w:t xml:space="preserve">18. Epskamp, S. &amp; Fried, E. I. A tutorial on regularized partial correlation networks. </w:t>
      </w:r>
      <w:r>
        <w:rPr>
          <w:rFonts w:hint="default" w:ascii="Times New Roman" w:hAnsi="Times New Roman" w:cs="Times New Roman"/>
          <w:i/>
          <w:iCs/>
          <w:sz w:val="18"/>
          <w:szCs w:val="18"/>
          <w:highlight w:val="none"/>
        </w:rPr>
        <w:t>Psychol. Methods</w:t>
      </w:r>
      <w:r>
        <w:rPr>
          <w:rFonts w:hint="default" w:ascii="Times New Roman" w:hAnsi="Times New Roman" w:cs="Times New Roman"/>
          <w:b/>
          <w:bCs/>
          <w:i/>
          <w:iCs/>
          <w:sz w:val="18"/>
          <w:szCs w:val="18"/>
          <w:highlight w:val="none"/>
        </w:rPr>
        <w:t xml:space="preserve"> </w:t>
      </w:r>
      <w:r>
        <w:rPr>
          <w:rFonts w:hint="default" w:ascii="Times New Roman" w:hAnsi="Times New Roman" w:cs="Times New Roman"/>
          <w:b/>
          <w:bCs/>
          <w:sz w:val="18"/>
          <w:szCs w:val="18"/>
          <w:highlight w:val="none"/>
        </w:rPr>
        <w:t xml:space="preserve">23, </w:t>
      </w:r>
      <w:r>
        <w:rPr>
          <w:rFonts w:hint="default" w:ascii="Times New Roman" w:hAnsi="Times New Roman" w:cs="Times New Roman"/>
          <w:sz w:val="18"/>
          <w:szCs w:val="18"/>
          <w:highlight w:val="none"/>
        </w:rPr>
        <w:t>617–634 (2018).</w:t>
      </w:r>
      <w:r>
        <w:rPr>
          <w:rFonts w:hint="default" w:ascii="Times New Roman" w:hAnsi="Times New Roman" w:eastAsia="宋体" w:cs="Times New Roman"/>
          <w:sz w:val="18"/>
          <w:szCs w:val="18"/>
          <w:highlight w:val="none"/>
          <w:lang w:val="en-US" w:eastAsia="zh-CN"/>
        </w:rPr>
        <w:t xml:space="preserve"> </w:t>
      </w:r>
      <w:r>
        <w:rPr>
          <w:rFonts w:hint="default" w:ascii="Times New Roman" w:hAnsi="Times New Roman" w:cs="Times New Roman"/>
          <w:sz w:val="18"/>
          <w:szCs w:val="18"/>
          <w:highlight w:val="none"/>
        </w:rPr>
        <w:t>https://doi.org/10.1037/met0000167</w:t>
      </w:r>
    </w:p>
    <w:p w14:paraId="72CA3086">
      <w:pPr>
        <w:spacing w:after="80" w:line="276" w:lineRule="auto"/>
        <w:ind w:left="432" w:hanging="432"/>
        <w:rPr>
          <w:rFonts w:hint="default" w:ascii="Times New Roman" w:hAnsi="Times New Roman" w:cs="Times New Roman"/>
          <w:sz w:val="18"/>
          <w:szCs w:val="18"/>
          <w:highlight w:val="none"/>
        </w:rPr>
      </w:pPr>
      <w:r>
        <w:rPr>
          <w:rFonts w:hint="default" w:ascii="Times New Roman" w:hAnsi="Times New Roman" w:cs="Times New Roman"/>
          <w:sz w:val="18"/>
          <w:szCs w:val="18"/>
          <w:highlight w:val="none"/>
        </w:rPr>
        <w:t xml:space="preserve">19. Epskamp, S., Borsboom, D. &amp; Fried, E. I. Estimating psychological networks and their accuracy: a tutorial paper. </w:t>
      </w:r>
      <w:r>
        <w:rPr>
          <w:rFonts w:hint="default" w:ascii="Times New Roman" w:hAnsi="Times New Roman" w:cs="Times New Roman"/>
          <w:i/>
          <w:iCs/>
          <w:sz w:val="18"/>
          <w:szCs w:val="18"/>
          <w:highlight w:val="none"/>
        </w:rPr>
        <w:t>Behav. Res. Methods</w:t>
      </w:r>
      <w:r>
        <w:rPr>
          <w:rFonts w:hint="default" w:ascii="Times New Roman" w:hAnsi="Times New Roman" w:cs="Times New Roman"/>
          <w:sz w:val="18"/>
          <w:szCs w:val="18"/>
          <w:highlight w:val="none"/>
        </w:rPr>
        <w:t xml:space="preserve"> </w:t>
      </w:r>
      <w:r>
        <w:rPr>
          <w:rFonts w:hint="default" w:ascii="Times New Roman" w:hAnsi="Times New Roman" w:cs="Times New Roman"/>
          <w:b/>
          <w:bCs/>
          <w:sz w:val="18"/>
          <w:szCs w:val="18"/>
          <w:highlight w:val="none"/>
        </w:rPr>
        <w:t xml:space="preserve">50, </w:t>
      </w:r>
      <w:r>
        <w:rPr>
          <w:rFonts w:hint="default" w:ascii="Times New Roman" w:hAnsi="Times New Roman" w:cs="Times New Roman"/>
          <w:sz w:val="18"/>
          <w:szCs w:val="18"/>
          <w:highlight w:val="none"/>
        </w:rPr>
        <w:t>195–212 (2018). https://doi.org/10.3758/s13428-017-0862-1</w:t>
      </w:r>
    </w:p>
    <w:p w14:paraId="51B4784B">
      <w:pPr>
        <w:spacing w:after="80" w:line="276" w:lineRule="auto"/>
        <w:ind w:left="432" w:hanging="432"/>
        <w:rPr>
          <w:rFonts w:hint="default" w:ascii="Times New Roman" w:hAnsi="Times New Roman" w:cs="Times New Roman"/>
          <w:sz w:val="18"/>
          <w:szCs w:val="18"/>
          <w:highlight w:val="none"/>
        </w:rPr>
      </w:pPr>
      <w:r>
        <w:rPr>
          <w:rFonts w:hint="default" w:ascii="Times New Roman" w:hAnsi="Times New Roman" w:cs="Times New Roman"/>
          <w:sz w:val="18"/>
          <w:szCs w:val="18"/>
          <w:highlight w:val="none"/>
        </w:rPr>
        <w:t xml:space="preserve">20. Liu, Y. Y., Slotine, J. J. &amp; Barabási, A. L. Controllability of complex networks. </w:t>
      </w:r>
      <w:r>
        <w:rPr>
          <w:rFonts w:hint="default" w:ascii="Times New Roman" w:hAnsi="Times New Roman" w:cs="Times New Roman"/>
          <w:i/>
          <w:iCs/>
          <w:sz w:val="18"/>
          <w:szCs w:val="18"/>
          <w:highlight w:val="none"/>
        </w:rPr>
        <w:t>Nature</w:t>
      </w:r>
      <w:r>
        <w:rPr>
          <w:rFonts w:hint="default" w:ascii="Times New Roman" w:hAnsi="Times New Roman" w:cs="Times New Roman"/>
          <w:b/>
          <w:bCs/>
          <w:sz w:val="18"/>
          <w:szCs w:val="18"/>
          <w:highlight w:val="none"/>
        </w:rPr>
        <w:t xml:space="preserve"> 473, </w:t>
      </w:r>
      <w:r>
        <w:rPr>
          <w:rFonts w:hint="default" w:ascii="Times New Roman" w:hAnsi="Times New Roman" w:cs="Times New Roman"/>
          <w:sz w:val="18"/>
          <w:szCs w:val="18"/>
          <w:highlight w:val="none"/>
        </w:rPr>
        <w:t>167–173 (2011). https://doi.org/10.1038/nature10011</w:t>
      </w:r>
    </w:p>
    <w:p w14:paraId="1377B994">
      <w:pPr>
        <w:spacing w:after="80" w:line="276" w:lineRule="auto"/>
        <w:ind w:left="432" w:hanging="432"/>
        <w:rPr>
          <w:rFonts w:hint="default" w:ascii="Times New Roman" w:hAnsi="Times New Roman" w:cs="Times New Roman"/>
          <w:sz w:val="18"/>
          <w:szCs w:val="18"/>
          <w:highlight w:val="none"/>
        </w:rPr>
      </w:pPr>
      <w:r>
        <w:rPr>
          <w:rFonts w:hint="default" w:ascii="Times New Roman" w:hAnsi="Times New Roman" w:cs="Times New Roman"/>
          <w:sz w:val="18"/>
          <w:szCs w:val="18"/>
          <w:highlight w:val="none"/>
        </w:rPr>
        <w:t xml:space="preserve">21. Nacher, J. C. &amp; Akutsu, T. </w:t>
      </w:r>
      <w:r>
        <w:rPr>
          <w:rFonts w:hint="eastAsia" w:eastAsia="宋体" w:cs="Times New Roman"/>
          <w:sz w:val="18"/>
          <w:szCs w:val="18"/>
          <w:highlight w:val="none"/>
          <w:lang w:eastAsia="zh-CN"/>
        </w:rPr>
        <w:t>Minimum dominating set</w:t>
      </w:r>
      <w:r>
        <w:rPr>
          <w:rFonts w:hint="default" w:ascii="Times New Roman" w:hAnsi="Times New Roman" w:cs="Times New Roman"/>
          <w:sz w:val="18"/>
          <w:szCs w:val="18"/>
          <w:highlight w:val="none"/>
        </w:rPr>
        <w:t>-based methods for analyzing biological networks.</w:t>
      </w:r>
      <w:r>
        <w:rPr>
          <w:rFonts w:hint="default" w:ascii="Times New Roman" w:hAnsi="Times New Roman" w:cs="Times New Roman"/>
          <w:i/>
          <w:iCs/>
          <w:sz w:val="18"/>
          <w:szCs w:val="18"/>
          <w:highlight w:val="none"/>
        </w:rPr>
        <w:t xml:space="preserve"> Methods </w:t>
      </w:r>
      <w:r>
        <w:rPr>
          <w:rFonts w:hint="default" w:ascii="Times New Roman" w:hAnsi="Times New Roman" w:cs="Times New Roman"/>
          <w:b/>
          <w:bCs/>
          <w:sz w:val="18"/>
          <w:szCs w:val="18"/>
          <w:highlight w:val="none"/>
        </w:rPr>
        <w:t>102,</w:t>
      </w:r>
      <w:r>
        <w:rPr>
          <w:rFonts w:hint="default" w:ascii="Times New Roman" w:hAnsi="Times New Roman" w:cs="Times New Roman"/>
          <w:sz w:val="18"/>
          <w:szCs w:val="18"/>
          <w:highlight w:val="none"/>
        </w:rPr>
        <w:t xml:space="preserve"> 57–63 (2016). https://doi.org/10.1016/j.ymeth.2015.12.017</w:t>
      </w:r>
    </w:p>
    <w:p w14:paraId="73171E8E">
      <w:pPr>
        <w:spacing w:after="80" w:line="276" w:lineRule="auto"/>
        <w:ind w:left="432" w:hanging="432"/>
        <w:rPr>
          <w:rFonts w:hint="default" w:ascii="Times New Roman" w:hAnsi="Times New Roman" w:cs="Times New Roman"/>
          <w:sz w:val="18"/>
          <w:szCs w:val="18"/>
          <w:highlight w:val="none"/>
        </w:rPr>
      </w:pPr>
      <w:r>
        <w:rPr>
          <w:rFonts w:hint="default" w:ascii="Times New Roman" w:hAnsi="Times New Roman" w:cs="Times New Roman"/>
          <w:sz w:val="18"/>
          <w:szCs w:val="18"/>
          <w:highlight w:val="none"/>
        </w:rPr>
        <w:t>22.</w:t>
      </w:r>
      <w:r>
        <w:rPr>
          <w:rFonts w:hint="default" w:ascii="Times New Roman" w:hAnsi="Times New Roman" w:eastAsia="宋体" w:cs="Times New Roman"/>
          <w:sz w:val="18"/>
          <w:szCs w:val="18"/>
          <w:highlight w:val="none"/>
          <w:lang w:val="en-US" w:eastAsia="zh-CN"/>
        </w:rPr>
        <w:t xml:space="preserve"> </w:t>
      </w:r>
      <w:r>
        <w:rPr>
          <w:rFonts w:hint="default" w:ascii="Times New Roman" w:hAnsi="Times New Roman" w:cs="Times New Roman"/>
          <w:sz w:val="18"/>
          <w:szCs w:val="18"/>
          <w:highlight w:val="none"/>
        </w:rPr>
        <w:t>Pan, C. et al. Module control of network analysis in psychopathology.</w:t>
      </w:r>
      <w:r>
        <w:rPr>
          <w:rFonts w:hint="default" w:ascii="Times New Roman" w:hAnsi="Times New Roman" w:cs="Times New Roman"/>
          <w:i/>
          <w:iCs/>
          <w:sz w:val="18"/>
          <w:szCs w:val="18"/>
          <w:highlight w:val="none"/>
        </w:rPr>
        <w:t xml:space="preserve"> iScience</w:t>
      </w:r>
      <w:r>
        <w:rPr>
          <w:rFonts w:hint="default" w:ascii="Times New Roman" w:hAnsi="Times New Roman" w:cs="Times New Roman"/>
          <w:sz w:val="18"/>
          <w:szCs w:val="18"/>
          <w:highlight w:val="none"/>
        </w:rPr>
        <w:t xml:space="preserve"> </w:t>
      </w:r>
      <w:r>
        <w:rPr>
          <w:rFonts w:hint="default" w:ascii="Times New Roman" w:hAnsi="Times New Roman" w:cs="Times New Roman"/>
          <w:b/>
          <w:bCs/>
          <w:sz w:val="18"/>
          <w:szCs w:val="18"/>
          <w:highlight w:val="none"/>
        </w:rPr>
        <w:t xml:space="preserve">27, </w:t>
      </w:r>
      <w:r>
        <w:rPr>
          <w:rFonts w:hint="default" w:ascii="Times New Roman" w:hAnsi="Times New Roman" w:cs="Times New Roman"/>
          <w:sz w:val="18"/>
          <w:szCs w:val="18"/>
          <w:highlight w:val="none"/>
        </w:rPr>
        <w:t>110302 (2024). https://doi.org/10.1016/j.isci.2024.110302</w:t>
      </w:r>
    </w:p>
    <w:p w14:paraId="58FC2BD7">
      <w:pPr>
        <w:spacing w:after="80" w:line="276" w:lineRule="auto"/>
        <w:ind w:left="432" w:hanging="432"/>
        <w:rPr>
          <w:rFonts w:hint="default" w:ascii="Times New Roman" w:hAnsi="Times New Roman" w:cs="Times New Roman"/>
          <w:sz w:val="18"/>
          <w:szCs w:val="18"/>
          <w:highlight w:val="none"/>
        </w:rPr>
      </w:pPr>
      <w:r>
        <w:rPr>
          <w:rFonts w:hint="default" w:ascii="Times New Roman" w:hAnsi="Times New Roman" w:cs="Times New Roman"/>
          <w:sz w:val="18"/>
          <w:szCs w:val="18"/>
          <w:highlight w:val="none"/>
        </w:rPr>
        <w:t>23.</w:t>
      </w:r>
      <w:r>
        <w:rPr>
          <w:rFonts w:hint="default" w:ascii="Times New Roman" w:hAnsi="Times New Roman" w:eastAsia="宋体" w:cs="Times New Roman"/>
          <w:sz w:val="18"/>
          <w:szCs w:val="18"/>
          <w:highlight w:val="none"/>
          <w:lang w:val="en-US" w:eastAsia="zh-CN"/>
        </w:rPr>
        <w:t xml:space="preserve"> </w:t>
      </w:r>
      <w:r>
        <w:rPr>
          <w:rFonts w:hint="default" w:ascii="Times New Roman" w:hAnsi="Times New Roman" w:cs="Times New Roman"/>
          <w:sz w:val="18"/>
          <w:szCs w:val="18"/>
          <w:highlight w:val="none"/>
        </w:rPr>
        <w:t xml:space="preserve">Burger, J. et al. Reporting standards for psychological network analyses in cross-sectional data. Psychol. </w:t>
      </w:r>
      <w:r>
        <w:rPr>
          <w:rFonts w:hint="default" w:ascii="Times New Roman" w:hAnsi="Times New Roman" w:cs="Times New Roman"/>
          <w:i/>
          <w:iCs/>
          <w:sz w:val="18"/>
          <w:szCs w:val="18"/>
          <w:highlight w:val="none"/>
        </w:rPr>
        <w:t>Methods</w:t>
      </w:r>
      <w:r>
        <w:rPr>
          <w:rFonts w:hint="default" w:ascii="Times New Roman" w:hAnsi="Times New Roman" w:cs="Times New Roman"/>
          <w:sz w:val="18"/>
          <w:szCs w:val="18"/>
          <w:highlight w:val="none"/>
        </w:rPr>
        <w:t xml:space="preserve"> </w:t>
      </w:r>
      <w:r>
        <w:rPr>
          <w:rFonts w:hint="default" w:ascii="Times New Roman" w:hAnsi="Times New Roman" w:cs="Times New Roman"/>
          <w:b/>
          <w:bCs/>
          <w:sz w:val="18"/>
          <w:szCs w:val="18"/>
          <w:highlight w:val="none"/>
        </w:rPr>
        <w:t>28,</w:t>
      </w:r>
      <w:r>
        <w:rPr>
          <w:rFonts w:hint="default" w:ascii="Times New Roman" w:hAnsi="Times New Roman" w:cs="Times New Roman"/>
          <w:sz w:val="18"/>
          <w:szCs w:val="18"/>
          <w:highlight w:val="none"/>
        </w:rPr>
        <w:t xml:space="preserve"> 806–824 (2023). https://doi.org/10.1037/met0000471</w:t>
      </w:r>
    </w:p>
    <w:p w14:paraId="5D2AB37E">
      <w:pPr>
        <w:spacing w:after="80" w:line="276" w:lineRule="auto"/>
        <w:ind w:left="432" w:hanging="432"/>
        <w:rPr>
          <w:rFonts w:hint="default" w:ascii="Times New Roman" w:hAnsi="Times New Roman" w:cs="Times New Roman"/>
          <w:sz w:val="18"/>
          <w:szCs w:val="18"/>
          <w:highlight w:val="none"/>
        </w:rPr>
      </w:pPr>
      <w:r>
        <w:rPr>
          <w:rFonts w:hint="default" w:ascii="Times New Roman" w:hAnsi="Times New Roman" w:cs="Times New Roman"/>
          <w:sz w:val="18"/>
          <w:szCs w:val="18"/>
          <w:highlight w:val="none"/>
        </w:rPr>
        <w:t>24. Fried, E. I. &amp; Cramer, A. O. J. Moving forward: challenges and directions for psychopathological network theory and methodology.</w:t>
      </w:r>
      <w:r>
        <w:rPr>
          <w:rFonts w:hint="default" w:ascii="Times New Roman" w:hAnsi="Times New Roman" w:cs="Times New Roman"/>
          <w:i/>
          <w:iCs/>
          <w:sz w:val="18"/>
          <w:szCs w:val="18"/>
          <w:highlight w:val="none"/>
        </w:rPr>
        <w:t xml:space="preserve"> Perspect. Psychol. Sci.</w:t>
      </w:r>
      <w:r>
        <w:rPr>
          <w:rFonts w:hint="default" w:ascii="Times New Roman" w:hAnsi="Times New Roman" w:cs="Times New Roman"/>
          <w:b/>
          <w:bCs/>
          <w:sz w:val="18"/>
          <w:szCs w:val="18"/>
          <w:highlight w:val="none"/>
        </w:rPr>
        <w:t xml:space="preserve"> 12,</w:t>
      </w:r>
      <w:r>
        <w:rPr>
          <w:rFonts w:hint="default" w:ascii="Times New Roman" w:hAnsi="Times New Roman" w:cs="Times New Roman"/>
          <w:sz w:val="18"/>
          <w:szCs w:val="18"/>
          <w:highlight w:val="none"/>
        </w:rPr>
        <w:t xml:space="preserve"> 999–1020 (2017). https://doi.org/10.1177/1745691617705892</w:t>
      </w:r>
    </w:p>
    <w:p w14:paraId="4A34C130">
      <w:pPr>
        <w:spacing w:after="80" w:line="276" w:lineRule="auto"/>
        <w:ind w:left="432" w:hanging="432"/>
        <w:rPr>
          <w:rFonts w:hint="default" w:ascii="Times New Roman" w:hAnsi="Times New Roman" w:cs="Times New Roman"/>
          <w:sz w:val="18"/>
          <w:szCs w:val="18"/>
          <w:highlight w:val="none"/>
        </w:rPr>
      </w:pPr>
      <w:r>
        <w:rPr>
          <w:rFonts w:hint="default" w:ascii="Times New Roman" w:hAnsi="Times New Roman" w:cs="Times New Roman"/>
          <w:sz w:val="18"/>
          <w:szCs w:val="18"/>
          <w:highlight w:val="none"/>
        </w:rPr>
        <w:t xml:space="preserve">25. Lunansky, G. et al. Intervening on psychopathology networks: evaluating intervention targets through simulations. </w:t>
      </w:r>
      <w:r>
        <w:rPr>
          <w:rFonts w:hint="default" w:ascii="Times New Roman" w:hAnsi="Times New Roman" w:cs="Times New Roman"/>
          <w:i/>
          <w:iCs/>
          <w:sz w:val="18"/>
          <w:szCs w:val="18"/>
          <w:highlight w:val="none"/>
        </w:rPr>
        <w:t>Methods</w:t>
      </w:r>
      <w:r>
        <w:rPr>
          <w:rFonts w:hint="default" w:ascii="Times New Roman" w:hAnsi="Times New Roman" w:cs="Times New Roman"/>
          <w:b/>
          <w:bCs/>
          <w:sz w:val="18"/>
          <w:szCs w:val="18"/>
          <w:highlight w:val="none"/>
        </w:rPr>
        <w:t xml:space="preserve"> 204,</w:t>
      </w:r>
      <w:r>
        <w:rPr>
          <w:rFonts w:hint="default" w:ascii="Times New Roman" w:hAnsi="Times New Roman" w:cs="Times New Roman"/>
          <w:sz w:val="18"/>
          <w:szCs w:val="18"/>
          <w:highlight w:val="none"/>
        </w:rPr>
        <w:t xml:space="preserve"> 29–37 (2022). https://doi.org/10.1016/j.ymeth.2021.11.006</w:t>
      </w:r>
    </w:p>
    <w:p w14:paraId="64E4352A">
      <w:pPr>
        <w:spacing w:after="80" w:line="276" w:lineRule="auto"/>
        <w:ind w:left="432" w:hanging="432"/>
        <w:rPr>
          <w:rFonts w:hint="default" w:ascii="Times New Roman" w:hAnsi="Times New Roman" w:cs="Times New Roman"/>
          <w:sz w:val="18"/>
          <w:szCs w:val="18"/>
          <w:highlight w:val="none"/>
        </w:rPr>
      </w:pPr>
      <w:r>
        <w:rPr>
          <w:rFonts w:hint="default" w:ascii="Times New Roman" w:hAnsi="Times New Roman" w:cs="Times New Roman"/>
          <w:sz w:val="18"/>
          <w:szCs w:val="18"/>
          <w:highlight w:val="none"/>
        </w:rPr>
        <w:t>26. Ye, X., Fong, T. C. T. &amp; Yip, P. S. F. A cross-lagged panel network model on internet gaming disorder and depressive symptoms concerning preferences for game genres.</w:t>
      </w:r>
      <w:r>
        <w:rPr>
          <w:rFonts w:hint="default" w:ascii="Times New Roman" w:hAnsi="Times New Roman" w:cs="Times New Roman"/>
          <w:i/>
          <w:iCs/>
          <w:sz w:val="18"/>
          <w:szCs w:val="18"/>
          <w:highlight w:val="none"/>
        </w:rPr>
        <w:t xml:space="preserve"> J. Affect. Disord. </w:t>
      </w:r>
      <w:r>
        <w:rPr>
          <w:rFonts w:hint="default" w:ascii="Times New Roman" w:hAnsi="Times New Roman" w:cs="Times New Roman"/>
          <w:b/>
          <w:bCs/>
          <w:sz w:val="18"/>
          <w:szCs w:val="18"/>
          <w:highlight w:val="none"/>
        </w:rPr>
        <w:t>375,</w:t>
      </w:r>
      <w:r>
        <w:rPr>
          <w:rFonts w:hint="default" w:ascii="Times New Roman" w:hAnsi="Times New Roman" w:cs="Times New Roman"/>
          <w:sz w:val="18"/>
          <w:szCs w:val="18"/>
          <w:highlight w:val="none"/>
        </w:rPr>
        <w:t xml:space="preserve"> 27–34 (2025). https://doi.org/10.1016/j.jad.2025.01.006</w:t>
      </w:r>
    </w:p>
    <w:p w14:paraId="761F5D72">
      <w:pPr>
        <w:spacing w:after="80" w:line="276" w:lineRule="auto"/>
        <w:ind w:left="432" w:hanging="432"/>
        <w:rPr>
          <w:rFonts w:hint="default" w:ascii="Times New Roman" w:hAnsi="Times New Roman" w:cs="Times New Roman"/>
          <w:sz w:val="18"/>
          <w:szCs w:val="18"/>
          <w:highlight w:val="none"/>
        </w:rPr>
      </w:pPr>
      <w:r>
        <w:rPr>
          <w:rFonts w:hint="eastAsia" w:eastAsia="宋体" w:cs="Times New Roman"/>
          <w:sz w:val="18"/>
          <w:szCs w:val="18"/>
          <w:highlight w:val="none"/>
          <w:lang w:val="en-US" w:eastAsia="zh-CN"/>
        </w:rPr>
        <w:t>27</w:t>
      </w:r>
      <w:r>
        <w:rPr>
          <w:rFonts w:hint="default" w:ascii="Times New Roman" w:hAnsi="Times New Roman" w:cs="Times New Roman"/>
          <w:sz w:val="18"/>
          <w:szCs w:val="18"/>
          <w:highlight w:val="none"/>
        </w:rPr>
        <w:t xml:space="preserve">. Zhang, R. et al. School-based Evaluation Advancing Response for Child Health (SEARCH): a mixed longitudinal cohort study from multifaceted perspectives in Jiangsu, China. </w:t>
      </w:r>
      <w:r>
        <w:rPr>
          <w:rFonts w:hint="default" w:ascii="Times New Roman" w:hAnsi="Times New Roman" w:cs="Times New Roman"/>
          <w:i/>
          <w:iCs/>
          <w:sz w:val="18"/>
          <w:szCs w:val="18"/>
          <w:highlight w:val="none"/>
        </w:rPr>
        <w:t>BMJ Ment. Health</w:t>
      </w:r>
      <w:r>
        <w:rPr>
          <w:rFonts w:hint="default" w:ascii="Times New Roman" w:hAnsi="Times New Roman" w:cs="Times New Roman"/>
          <w:b/>
          <w:bCs/>
          <w:i/>
          <w:iCs/>
          <w:sz w:val="18"/>
          <w:szCs w:val="18"/>
          <w:highlight w:val="none"/>
        </w:rPr>
        <w:t xml:space="preserve"> </w:t>
      </w:r>
      <w:r>
        <w:rPr>
          <w:rFonts w:hint="default" w:ascii="Times New Roman" w:hAnsi="Times New Roman" w:cs="Times New Roman"/>
          <w:b/>
          <w:bCs/>
          <w:sz w:val="18"/>
          <w:szCs w:val="18"/>
          <w:highlight w:val="none"/>
        </w:rPr>
        <w:t xml:space="preserve">26, </w:t>
      </w:r>
      <w:r>
        <w:rPr>
          <w:rFonts w:hint="default" w:ascii="Times New Roman" w:hAnsi="Times New Roman" w:cs="Times New Roman"/>
          <w:sz w:val="18"/>
          <w:szCs w:val="18"/>
          <w:highlight w:val="none"/>
        </w:rPr>
        <w:t xml:space="preserve">e300861 (2023). </w:t>
      </w:r>
      <w:r>
        <w:rPr>
          <w:rStyle w:val="146"/>
          <w:rFonts w:hint="default" w:ascii="Times New Roman" w:hAnsi="Times New Roman" w:cs="Times New Roman"/>
          <w:sz w:val="18"/>
          <w:szCs w:val="18"/>
          <w:highlight w:val="none"/>
        </w:rPr>
        <w:fldChar w:fldCharType="begin"/>
      </w:r>
      <w:r>
        <w:rPr>
          <w:rStyle w:val="146"/>
          <w:rFonts w:hint="default" w:ascii="Times New Roman" w:hAnsi="Times New Roman" w:cs="Times New Roman"/>
          <w:sz w:val="18"/>
          <w:szCs w:val="18"/>
          <w:highlight w:val="none"/>
        </w:rPr>
        <w:instrText xml:space="preserve"> HYPERLINK "https://doi.org/10.1136/bmjment-2023-300861" </w:instrText>
      </w:r>
      <w:r>
        <w:rPr>
          <w:rStyle w:val="146"/>
          <w:rFonts w:hint="default" w:ascii="Times New Roman" w:hAnsi="Times New Roman" w:cs="Times New Roman"/>
          <w:sz w:val="18"/>
          <w:szCs w:val="18"/>
          <w:highlight w:val="none"/>
        </w:rPr>
        <w:fldChar w:fldCharType="separate"/>
      </w:r>
      <w:r>
        <w:rPr>
          <w:rStyle w:val="146"/>
          <w:rFonts w:hint="default" w:ascii="Times New Roman" w:hAnsi="Times New Roman" w:cs="Times New Roman"/>
          <w:sz w:val="18"/>
          <w:szCs w:val="18"/>
          <w:highlight w:val="none"/>
        </w:rPr>
        <w:t>https://doi.org/10.1136/bmjment-2023-300861</w:t>
      </w:r>
      <w:r>
        <w:rPr>
          <w:rStyle w:val="146"/>
          <w:rFonts w:hint="default" w:ascii="Times New Roman" w:hAnsi="Times New Roman" w:cs="Times New Roman"/>
          <w:sz w:val="18"/>
          <w:szCs w:val="18"/>
          <w:highlight w:val="none"/>
        </w:rPr>
        <w:fldChar w:fldCharType="end"/>
      </w:r>
    </w:p>
    <w:p w14:paraId="21D86739">
      <w:pPr>
        <w:spacing w:after="80" w:line="276" w:lineRule="auto"/>
        <w:ind w:left="432" w:hanging="432"/>
        <w:rPr>
          <w:rFonts w:hint="default" w:ascii="Times New Roman" w:hAnsi="Times New Roman" w:cs="Times New Roman"/>
          <w:sz w:val="18"/>
          <w:szCs w:val="18"/>
          <w:highlight w:val="none"/>
        </w:rPr>
      </w:pPr>
      <w:r>
        <w:rPr>
          <w:rFonts w:hint="default" w:ascii="Times New Roman" w:hAnsi="Times New Roman" w:cs="Times New Roman"/>
          <w:sz w:val="18"/>
          <w:szCs w:val="18"/>
          <w:highlight w:val="none"/>
        </w:rPr>
        <w:t>2</w:t>
      </w:r>
      <w:r>
        <w:rPr>
          <w:rFonts w:hint="eastAsia" w:eastAsia="宋体" w:cs="Times New Roman"/>
          <w:sz w:val="18"/>
          <w:szCs w:val="18"/>
          <w:highlight w:val="none"/>
          <w:lang w:val="en-US" w:eastAsia="zh-CN"/>
        </w:rPr>
        <w:t>8</w:t>
      </w:r>
      <w:r>
        <w:rPr>
          <w:rFonts w:hint="default" w:ascii="Times New Roman" w:hAnsi="Times New Roman" w:cs="Times New Roman"/>
          <w:sz w:val="18"/>
          <w:szCs w:val="18"/>
          <w:highlight w:val="none"/>
        </w:rPr>
        <w:t>. Connelly, R. &amp; Platt, L. Cohort profile: UK Millennium Cohort Study (MCS).</w:t>
      </w:r>
      <w:r>
        <w:rPr>
          <w:rFonts w:hint="default" w:ascii="Times New Roman" w:hAnsi="Times New Roman" w:cs="Times New Roman"/>
          <w:i/>
          <w:iCs/>
          <w:sz w:val="18"/>
          <w:szCs w:val="18"/>
          <w:highlight w:val="none"/>
        </w:rPr>
        <w:t xml:space="preserve"> Int. J. Epidemiol. </w:t>
      </w:r>
      <w:r>
        <w:rPr>
          <w:rFonts w:hint="default" w:ascii="Times New Roman" w:hAnsi="Times New Roman" w:cs="Times New Roman"/>
          <w:b/>
          <w:bCs/>
          <w:sz w:val="18"/>
          <w:szCs w:val="18"/>
          <w:highlight w:val="none"/>
        </w:rPr>
        <w:t>43</w:t>
      </w:r>
      <w:r>
        <w:rPr>
          <w:rFonts w:hint="default" w:ascii="Times New Roman" w:hAnsi="Times New Roman" w:cs="Times New Roman"/>
          <w:sz w:val="18"/>
          <w:szCs w:val="18"/>
          <w:highlight w:val="none"/>
        </w:rPr>
        <w:t>, 1719–1725 (2014). https://doi.org/10.1093/ije/dyu001</w:t>
      </w:r>
    </w:p>
    <w:p w14:paraId="349A7F8E">
      <w:pPr>
        <w:spacing w:after="80" w:line="276" w:lineRule="auto"/>
        <w:ind w:left="432" w:hanging="432"/>
        <w:rPr>
          <w:rFonts w:hint="default" w:ascii="Times New Roman" w:hAnsi="Times New Roman" w:cs="Times New Roman"/>
          <w:sz w:val="18"/>
          <w:szCs w:val="18"/>
          <w:highlight w:val="none"/>
        </w:rPr>
      </w:pPr>
      <w:r>
        <w:rPr>
          <w:rFonts w:hint="eastAsia" w:eastAsia="宋体" w:cs="Times New Roman"/>
          <w:sz w:val="18"/>
          <w:szCs w:val="18"/>
          <w:highlight w:val="none"/>
          <w:lang w:val="en-US" w:eastAsia="zh-CN"/>
        </w:rPr>
        <w:t>29</w:t>
      </w:r>
      <w:r>
        <w:rPr>
          <w:rFonts w:hint="default" w:ascii="Times New Roman" w:hAnsi="Times New Roman" w:cs="Times New Roman"/>
          <w:sz w:val="18"/>
          <w:szCs w:val="18"/>
          <w:highlight w:val="none"/>
        </w:rPr>
        <w:t>. Newson, J. &amp; Thiagarajan, T. Dynamic dataset of global population mental wellbeing. PsyArXiv (2021). https://doi.org/10.31234/osf.io/vtzne</w:t>
      </w:r>
    </w:p>
    <w:p w14:paraId="77F49DF7">
      <w:pPr>
        <w:spacing w:after="80" w:line="276" w:lineRule="auto"/>
        <w:ind w:left="432" w:hanging="432"/>
        <w:rPr>
          <w:rFonts w:hint="default" w:ascii="Times New Roman" w:hAnsi="Times New Roman" w:cs="Times New Roman"/>
          <w:sz w:val="18"/>
          <w:szCs w:val="18"/>
          <w:highlight w:val="none"/>
        </w:rPr>
      </w:pPr>
      <w:r>
        <w:rPr>
          <w:rFonts w:hint="eastAsia" w:eastAsia="宋体" w:cs="Times New Roman"/>
          <w:sz w:val="18"/>
          <w:szCs w:val="18"/>
          <w:highlight w:val="none"/>
          <w:lang w:val="en-US" w:eastAsia="zh-CN"/>
        </w:rPr>
        <w:t>30</w:t>
      </w:r>
      <w:r>
        <w:rPr>
          <w:rFonts w:hint="default" w:ascii="Times New Roman" w:hAnsi="Times New Roman" w:cs="Times New Roman"/>
          <w:sz w:val="18"/>
          <w:szCs w:val="18"/>
          <w:highlight w:val="none"/>
        </w:rPr>
        <w:t>. Newson, J. J., Sukhoi, O. &amp; Thiagarajan, T. C. MHQ: constructing an aggregate metric of population mental wellbeing</w:t>
      </w:r>
      <w:r>
        <w:rPr>
          <w:rFonts w:hint="default" w:ascii="Times New Roman" w:hAnsi="Times New Roman" w:cs="Times New Roman"/>
          <w:i/>
          <w:iCs/>
          <w:sz w:val="18"/>
          <w:szCs w:val="18"/>
          <w:highlight w:val="none"/>
        </w:rPr>
        <w:t xml:space="preserve">. Popul. Health Metr. </w:t>
      </w:r>
      <w:r>
        <w:rPr>
          <w:rFonts w:hint="default" w:ascii="Times New Roman" w:hAnsi="Times New Roman" w:cs="Times New Roman"/>
          <w:b/>
          <w:bCs/>
          <w:sz w:val="18"/>
          <w:szCs w:val="18"/>
          <w:highlight w:val="none"/>
        </w:rPr>
        <w:t>22,</w:t>
      </w:r>
      <w:r>
        <w:rPr>
          <w:rFonts w:hint="default" w:ascii="Times New Roman" w:hAnsi="Times New Roman" w:cs="Times New Roman"/>
          <w:sz w:val="18"/>
          <w:szCs w:val="18"/>
          <w:highlight w:val="none"/>
        </w:rPr>
        <w:t xml:space="preserve"> 16 (2024). https://doi.org/10.1186/s12963-024-00336-y</w:t>
      </w:r>
    </w:p>
    <w:p w14:paraId="05FCBCD1">
      <w:pPr>
        <w:spacing w:after="80" w:line="276" w:lineRule="auto"/>
        <w:ind w:left="432" w:hanging="432"/>
        <w:rPr>
          <w:rFonts w:hint="default" w:ascii="Times New Roman" w:hAnsi="Times New Roman" w:cs="Times New Roman"/>
          <w:sz w:val="18"/>
          <w:szCs w:val="18"/>
          <w:highlight w:val="none"/>
        </w:rPr>
      </w:pPr>
      <w:r>
        <w:rPr>
          <w:rFonts w:hint="eastAsia" w:eastAsia="宋体" w:cs="Times New Roman"/>
          <w:sz w:val="18"/>
          <w:szCs w:val="18"/>
          <w:highlight w:val="none"/>
          <w:lang w:val="en-US" w:eastAsia="zh-CN"/>
        </w:rPr>
        <w:t>31</w:t>
      </w:r>
      <w:r>
        <w:rPr>
          <w:rFonts w:hint="default" w:ascii="Times New Roman" w:hAnsi="Times New Roman" w:cs="Times New Roman"/>
          <w:sz w:val="18"/>
          <w:szCs w:val="18"/>
          <w:highlight w:val="none"/>
        </w:rPr>
        <w:t>.</w:t>
      </w:r>
      <w:r>
        <w:rPr>
          <w:rFonts w:hint="default" w:ascii="Times New Roman" w:hAnsi="Times New Roman" w:eastAsia="宋体" w:cs="Times New Roman"/>
          <w:sz w:val="18"/>
          <w:szCs w:val="18"/>
          <w:highlight w:val="none"/>
          <w:lang w:val="en-US" w:eastAsia="zh-CN"/>
        </w:rPr>
        <w:t xml:space="preserve"> </w:t>
      </w:r>
      <w:r>
        <w:rPr>
          <w:rFonts w:hint="default" w:ascii="Times New Roman" w:hAnsi="Times New Roman" w:cs="Times New Roman"/>
          <w:sz w:val="18"/>
          <w:szCs w:val="18"/>
          <w:highlight w:val="none"/>
        </w:rPr>
        <w:t>Traag, V.</w:t>
      </w:r>
      <w:r>
        <w:rPr>
          <w:rFonts w:hint="default" w:ascii="Times New Roman" w:hAnsi="Times New Roman" w:eastAsia="宋体" w:cs="Times New Roman"/>
          <w:sz w:val="18"/>
          <w:szCs w:val="18"/>
          <w:highlight w:val="none"/>
          <w:lang w:val="en-US" w:eastAsia="zh-CN"/>
        </w:rPr>
        <w:t xml:space="preserve"> </w:t>
      </w:r>
      <w:r>
        <w:rPr>
          <w:rFonts w:hint="default" w:ascii="Times New Roman" w:hAnsi="Times New Roman" w:cs="Times New Roman"/>
          <w:sz w:val="18"/>
          <w:szCs w:val="18"/>
          <w:highlight w:val="none"/>
        </w:rPr>
        <w:t>A., Waltman, L. &amp; van Eck, N.</w:t>
      </w:r>
      <w:r>
        <w:rPr>
          <w:rFonts w:hint="default" w:ascii="Times New Roman" w:hAnsi="Times New Roman" w:eastAsia="宋体" w:cs="Times New Roman"/>
          <w:sz w:val="18"/>
          <w:szCs w:val="18"/>
          <w:highlight w:val="none"/>
          <w:lang w:val="en-US" w:eastAsia="zh-CN"/>
        </w:rPr>
        <w:t xml:space="preserve"> </w:t>
      </w:r>
      <w:r>
        <w:rPr>
          <w:rFonts w:hint="default" w:ascii="Times New Roman" w:hAnsi="Times New Roman" w:cs="Times New Roman"/>
          <w:sz w:val="18"/>
          <w:szCs w:val="18"/>
          <w:highlight w:val="none"/>
        </w:rPr>
        <w:t>J. From Louvain to Leiden: guaranteeing well-connected communities.</w:t>
      </w:r>
      <w:r>
        <w:rPr>
          <w:rFonts w:hint="default" w:ascii="Times New Roman" w:hAnsi="Times New Roman" w:eastAsia="宋体" w:cs="Times New Roman"/>
          <w:i/>
          <w:iCs/>
          <w:sz w:val="18"/>
          <w:szCs w:val="18"/>
          <w:highlight w:val="none"/>
          <w:lang w:val="en-US" w:eastAsia="zh-CN"/>
        </w:rPr>
        <w:t xml:space="preserve"> </w:t>
      </w:r>
      <w:r>
        <w:rPr>
          <w:rFonts w:hint="default" w:ascii="Times New Roman" w:hAnsi="Times New Roman" w:cs="Times New Roman"/>
          <w:i/>
          <w:iCs/>
          <w:sz w:val="18"/>
          <w:szCs w:val="18"/>
          <w:highlight w:val="none"/>
        </w:rPr>
        <w:t>Sci. Rep.</w:t>
      </w:r>
      <w:r>
        <w:rPr>
          <w:rFonts w:hint="default" w:ascii="Times New Roman" w:hAnsi="Times New Roman" w:cs="Times New Roman"/>
          <w:sz w:val="18"/>
          <w:szCs w:val="18"/>
          <w:highlight w:val="none"/>
        </w:rPr>
        <w:t xml:space="preserve"> </w:t>
      </w:r>
      <w:r>
        <w:rPr>
          <w:rFonts w:hint="default" w:ascii="Times New Roman" w:hAnsi="Times New Roman" w:cs="Times New Roman"/>
          <w:b/>
          <w:bCs/>
          <w:sz w:val="18"/>
          <w:szCs w:val="18"/>
          <w:highlight w:val="none"/>
        </w:rPr>
        <w:t>9,</w:t>
      </w:r>
      <w:r>
        <w:rPr>
          <w:rFonts w:hint="default" w:ascii="Times New Roman" w:hAnsi="Times New Roman" w:cs="Times New Roman"/>
          <w:sz w:val="18"/>
          <w:szCs w:val="18"/>
          <w:highlight w:val="none"/>
        </w:rPr>
        <w:t xml:space="preserve"> 5233 (2019). https://doi.org/10.1038/s41598-019-41695-z</w:t>
      </w:r>
    </w:p>
    <w:p w14:paraId="4BE45FDD">
      <w:pPr>
        <w:spacing w:after="80" w:line="276" w:lineRule="auto"/>
        <w:ind w:left="432" w:hanging="432"/>
        <w:rPr>
          <w:rFonts w:hint="default" w:ascii="Times New Roman" w:hAnsi="Times New Roman" w:cs="Times New Roman"/>
          <w:sz w:val="18"/>
          <w:szCs w:val="18"/>
          <w:highlight w:val="none"/>
        </w:rPr>
      </w:pPr>
      <w:r>
        <w:rPr>
          <w:rFonts w:hint="eastAsia" w:eastAsia="宋体" w:cs="Times New Roman"/>
          <w:sz w:val="18"/>
          <w:szCs w:val="18"/>
          <w:highlight w:val="none"/>
          <w:lang w:val="en-US" w:eastAsia="zh-CN"/>
        </w:rPr>
        <w:t>32</w:t>
      </w:r>
      <w:r>
        <w:rPr>
          <w:rFonts w:hint="default" w:ascii="Times New Roman" w:hAnsi="Times New Roman" w:cs="Times New Roman"/>
          <w:sz w:val="18"/>
          <w:szCs w:val="18"/>
          <w:highlight w:val="none"/>
        </w:rPr>
        <w:t>.</w:t>
      </w:r>
      <w:r>
        <w:rPr>
          <w:rFonts w:hint="default" w:ascii="Times New Roman" w:hAnsi="Times New Roman" w:eastAsia="宋体" w:cs="Times New Roman"/>
          <w:sz w:val="18"/>
          <w:szCs w:val="18"/>
          <w:highlight w:val="none"/>
          <w:lang w:val="en-US" w:eastAsia="zh-CN"/>
        </w:rPr>
        <w:t xml:space="preserve"> </w:t>
      </w:r>
      <w:r>
        <w:rPr>
          <w:rFonts w:hint="default" w:ascii="Times New Roman" w:hAnsi="Times New Roman" w:cs="Times New Roman"/>
          <w:sz w:val="18"/>
          <w:szCs w:val="18"/>
          <w:highlight w:val="none"/>
        </w:rPr>
        <w:t>Jones, P. J., Ma, R. &amp; McNally, R. J. Bridge centrality: a network approach to understanding comorbidity.</w:t>
      </w:r>
      <w:r>
        <w:rPr>
          <w:rFonts w:hint="default" w:ascii="Times New Roman" w:hAnsi="Times New Roman" w:cs="Times New Roman"/>
          <w:i/>
          <w:iCs/>
          <w:sz w:val="18"/>
          <w:szCs w:val="18"/>
          <w:highlight w:val="none"/>
        </w:rPr>
        <w:t xml:space="preserve"> Multivariate Behav. Res.</w:t>
      </w:r>
      <w:r>
        <w:rPr>
          <w:rFonts w:hint="default" w:ascii="Times New Roman" w:hAnsi="Times New Roman" w:cs="Times New Roman"/>
          <w:sz w:val="18"/>
          <w:szCs w:val="18"/>
          <w:highlight w:val="none"/>
        </w:rPr>
        <w:t xml:space="preserve"> </w:t>
      </w:r>
      <w:r>
        <w:rPr>
          <w:rFonts w:hint="default" w:ascii="Times New Roman" w:hAnsi="Times New Roman" w:cs="Times New Roman"/>
          <w:b/>
          <w:bCs/>
          <w:sz w:val="18"/>
          <w:szCs w:val="18"/>
          <w:highlight w:val="none"/>
        </w:rPr>
        <w:t>56,</w:t>
      </w:r>
      <w:r>
        <w:rPr>
          <w:rFonts w:hint="default" w:ascii="Times New Roman" w:hAnsi="Times New Roman" w:cs="Times New Roman"/>
          <w:sz w:val="18"/>
          <w:szCs w:val="18"/>
          <w:highlight w:val="none"/>
        </w:rPr>
        <w:t xml:space="preserve"> 353–367 (2021). https://doi.org/10.1080/00273171.2019.1614898</w:t>
      </w:r>
    </w:p>
    <w:p w14:paraId="133E7522">
      <w:pPr>
        <w:spacing w:after="80" w:line="276" w:lineRule="auto"/>
        <w:ind w:left="432" w:hanging="432"/>
        <w:rPr>
          <w:rFonts w:hint="default" w:ascii="Times New Roman" w:hAnsi="Times New Roman" w:cs="Times New Roman"/>
          <w:sz w:val="18"/>
          <w:szCs w:val="18"/>
          <w:highlight w:val="none"/>
        </w:rPr>
      </w:pPr>
      <w:r>
        <w:rPr>
          <w:rFonts w:hint="default" w:ascii="Times New Roman" w:hAnsi="Times New Roman" w:cs="Times New Roman"/>
          <w:sz w:val="18"/>
          <w:szCs w:val="18"/>
          <w:highlight w:val="none"/>
        </w:rPr>
        <w:t>3</w:t>
      </w:r>
      <w:r>
        <w:rPr>
          <w:rFonts w:hint="eastAsia" w:eastAsia="宋体" w:cs="Times New Roman"/>
          <w:sz w:val="18"/>
          <w:szCs w:val="18"/>
          <w:highlight w:val="none"/>
          <w:lang w:val="en-US" w:eastAsia="zh-CN"/>
        </w:rPr>
        <w:t>3</w:t>
      </w:r>
      <w:r>
        <w:rPr>
          <w:rFonts w:hint="default" w:ascii="Times New Roman" w:hAnsi="Times New Roman" w:cs="Times New Roman"/>
          <w:sz w:val="18"/>
          <w:szCs w:val="18"/>
          <w:highlight w:val="none"/>
        </w:rPr>
        <w:t>.</w:t>
      </w:r>
      <w:r>
        <w:rPr>
          <w:rFonts w:hint="default" w:ascii="Times New Roman" w:hAnsi="Times New Roman" w:eastAsia="宋体" w:cs="Times New Roman"/>
          <w:sz w:val="18"/>
          <w:szCs w:val="18"/>
          <w:highlight w:val="none"/>
          <w:lang w:val="en-US" w:eastAsia="zh-CN"/>
        </w:rPr>
        <w:t xml:space="preserve"> </w:t>
      </w:r>
      <w:r>
        <w:rPr>
          <w:rFonts w:hint="default" w:ascii="Times New Roman" w:hAnsi="Times New Roman" w:cs="Times New Roman"/>
          <w:sz w:val="18"/>
          <w:szCs w:val="18"/>
          <w:highlight w:val="none"/>
        </w:rPr>
        <w:t xml:space="preserve">Rodriguez-Ayllon, M. et al. Role of physical activity and sedentary behavior in the mental health of preschoolers, children and adolescents: a systematic review and meta-analysis. </w:t>
      </w:r>
      <w:r>
        <w:rPr>
          <w:rFonts w:hint="default" w:ascii="Times New Roman" w:hAnsi="Times New Roman" w:cs="Times New Roman"/>
          <w:i/>
          <w:iCs/>
          <w:sz w:val="18"/>
          <w:szCs w:val="18"/>
          <w:highlight w:val="none"/>
        </w:rPr>
        <w:t>Sports Med.</w:t>
      </w:r>
      <w:r>
        <w:rPr>
          <w:rFonts w:hint="default" w:ascii="Times New Roman" w:hAnsi="Times New Roman" w:cs="Times New Roman"/>
          <w:sz w:val="18"/>
          <w:szCs w:val="18"/>
          <w:highlight w:val="none"/>
        </w:rPr>
        <w:t xml:space="preserve"> </w:t>
      </w:r>
      <w:r>
        <w:rPr>
          <w:rFonts w:hint="default" w:ascii="Times New Roman" w:hAnsi="Times New Roman" w:cs="Times New Roman"/>
          <w:b/>
          <w:bCs/>
          <w:sz w:val="18"/>
          <w:szCs w:val="18"/>
          <w:highlight w:val="none"/>
        </w:rPr>
        <w:t xml:space="preserve">49, </w:t>
      </w:r>
      <w:r>
        <w:rPr>
          <w:rFonts w:hint="default" w:ascii="Times New Roman" w:hAnsi="Times New Roman" w:cs="Times New Roman"/>
          <w:sz w:val="18"/>
          <w:szCs w:val="18"/>
          <w:highlight w:val="none"/>
        </w:rPr>
        <w:t>1383–1410 (2019). https://doi.org/10.1007/s40279-019-01099-5</w:t>
      </w:r>
    </w:p>
    <w:p w14:paraId="7EFCA2EB">
      <w:pPr>
        <w:spacing w:after="80" w:line="276" w:lineRule="auto"/>
        <w:ind w:left="432" w:hanging="432"/>
        <w:rPr>
          <w:rFonts w:hint="default" w:ascii="Times New Roman" w:hAnsi="Times New Roman" w:cs="Times New Roman"/>
          <w:sz w:val="18"/>
          <w:szCs w:val="18"/>
          <w:highlight w:val="none"/>
        </w:rPr>
      </w:pPr>
      <w:r>
        <w:rPr>
          <w:rFonts w:hint="default" w:ascii="Times New Roman" w:hAnsi="Times New Roman" w:cs="Times New Roman"/>
          <w:sz w:val="18"/>
          <w:szCs w:val="18"/>
          <w:highlight w:val="none"/>
        </w:rPr>
        <w:t>3</w:t>
      </w:r>
      <w:r>
        <w:rPr>
          <w:rFonts w:hint="eastAsia" w:eastAsia="宋体" w:cs="Times New Roman"/>
          <w:sz w:val="18"/>
          <w:szCs w:val="18"/>
          <w:highlight w:val="none"/>
          <w:lang w:val="en-US" w:eastAsia="zh-CN"/>
        </w:rPr>
        <w:t>4</w:t>
      </w:r>
      <w:r>
        <w:rPr>
          <w:rFonts w:hint="default" w:ascii="Times New Roman" w:hAnsi="Times New Roman" w:cs="Times New Roman"/>
          <w:sz w:val="18"/>
          <w:szCs w:val="18"/>
          <w:highlight w:val="none"/>
        </w:rPr>
        <w:t xml:space="preserve">. Orben, A. &amp; Przybylski, A. K. Teenage sleep and technology engagement across the week. </w:t>
      </w:r>
      <w:r>
        <w:rPr>
          <w:rFonts w:hint="default" w:ascii="Times New Roman" w:hAnsi="Times New Roman" w:cs="Times New Roman"/>
          <w:i/>
          <w:iCs/>
          <w:sz w:val="18"/>
          <w:szCs w:val="18"/>
          <w:highlight w:val="none"/>
        </w:rPr>
        <w:t>PeerJ</w:t>
      </w:r>
      <w:r>
        <w:rPr>
          <w:rFonts w:hint="default" w:ascii="Times New Roman" w:hAnsi="Times New Roman" w:cs="Times New Roman"/>
          <w:sz w:val="18"/>
          <w:szCs w:val="18"/>
          <w:highlight w:val="none"/>
        </w:rPr>
        <w:t xml:space="preserve"> </w:t>
      </w:r>
      <w:r>
        <w:rPr>
          <w:rFonts w:hint="default" w:ascii="Times New Roman" w:hAnsi="Times New Roman" w:cs="Times New Roman"/>
          <w:b/>
          <w:bCs/>
          <w:sz w:val="18"/>
          <w:szCs w:val="18"/>
          <w:highlight w:val="none"/>
        </w:rPr>
        <w:t>8,</w:t>
      </w:r>
      <w:r>
        <w:rPr>
          <w:rFonts w:hint="default" w:ascii="Times New Roman" w:hAnsi="Times New Roman" w:cs="Times New Roman"/>
          <w:sz w:val="18"/>
          <w:szCs w:val="18"/>
          <w:highlight w:val="none"/>
        </w:rPr>
        <w:t xml:space="preserve"> e8427 (2020). https://doi.org/10.7717/peerj.8427</w:t>
      </w:r>
    </w:p>
    <w:p w14:paraId="5B9D664D">
      <w:pPr>
        <w:spacing w:after="80" w:line="276" w:lineRule="auto"/>
        <w:ind w:left="432" w:hanging="432"/>
        <w:rPr>
          <w:rFonts w:hint="default" w:ascii="Times New Roman" w:hAnsi="Times New Roman" w:cs="Times New Roman"/>
          <w:sz w:val="18"/>
          <w:szCs w:val="18"/>
          <w:highlight w:val="none"/>
        </w:rPr>
      </w:pPr>
      <w:r>
        <w:rPr>
          <w:rFonts w:hint="default" w:ascii="Times New Roman" w:hAnsi="Times New Roman" w:cs="Times New Roman"/>
          <w:sz w:val="18"/>
          <w:szCs w:val="18"/>
          <w:highlight w:val="none"/>
        </w:rPr>
        <w:t>3</w:t>
      </w:r>
      <w:r>
        <w:rPr>
          <w:rFonts w:hint="eastAsia" w:eastAsia="宋体" w:cs="Times New Roman"/>
          <w:sz w:val="18"/>
          <w:szCs w:val="18"/>
          <w:highlight w:val="none"/>
          <w:lang w:val="en-US" w:eastAsia="zh-CN"/>
        </w:rPr>
        <w:t>5</w:t>
      </w:r>
      <w:r>
        <w:rPr>
          <w:rFonts w:hint="default" w:ascii="Times New Roman" w:hAnsi="Times New Roman" w:cs="Times New Roman"/>
          <w:sz w:val="18"/>
          <w:szCs w:val="18"/>
          <w:highlight w:val="none"/>
        </w:rPr>
        <w:t>. Nagata, J. M. et al. Screen time and mental health: a prospective analysis of the Adolescent Brain Cognitive Development (ABCD) Study.</w:t>
      </w:r>
      <w:r>
        <w:rPr>
          <w:rFonts w:hint="default" w:ascii="Times New Roman" w:hAnsi="Times New Roman" w:cs="Times New Roman"/>
          <w:i/>
          <w:iCs/>
          <w:sz w:val="18"/>
          <w:szCs w:val="18"/>
          <w:highlight w:val="none"/>
        </w:rPr>
        <w:t xml:space="preserve"> BMC Public Health</w:t>
      </w:r>
      <w:r>
        <w:rPr>
          <w:rFonts w:hint="default" w:ascii="Times New Roman" w:hAnsi="Times New Roman" w:cs="Times New Roman"/>
          <w:b/>
          <w:bCs/>
          <w:sz w:val="18"/>
          <w:szCs w:val="18"/>
          <w:highlight w:val="none"/>
        </w:rPr>
        <w:t xml:space="preserve"> 24,</w:t>
      </w:r>
      <w:r>
        <w:rPr>
          <w:rFonts w:hint="default" w:ascii="Times New Roman" w:hAnsi="Times New Roman" w:cs="Times New Roman"/>
          <w:sz w:val="18"/>
          <w:szCs w:val="18"/>
          <w:highlight w:val="none"/>
        </w:rPr>
        <w:t xml:space="preserve"> 2686 (2024). https://doi.org/10.1186/s12889-024-20102-x</w:t>
      </w:r>
    </w:p>
    <w:p w14:paraId="521DE1E2">
      <w:pPr>
        <w:spacing w:after="80" w:line="276" w:lineRule="auto"/>
        <w:ind w:left="432" w:hanging="432"/>
        <w:rPr>
          <w:rFonts w:hint="default" w:ascii="Times New Roman" w:hAnsi="Times New Roman" w:cs="Times New Roman"/>
          <w:sz w:val="18"/>
          <w:szCs w:val="18"/>
          <w:highlight w:val="none"/>
        </w:rPr>
      </w:pPr>
      <w:r>
        <w:rPr>
          <w:rFonts w:hint="default" w:ascii="Times New Roman" w:hAnsi="Times New Roman" w:cs="Times New Roman"/>
          <w:sz w:val="18"/>
          <w:szCs w:val="18"/>
          <w:highlight w:val="none"/>
        </w:rPr>
        <w:t>3</w:t>
      </w:r>
      <w:r>
        <w:rPr>
          <w:rFonts w:hint="eastAsia" w:eastAsia="宋体" w:cs="Times New Roman"/>
          <w:sz w:val="18"/>
          <w:szCs w:val="18"/>
          <w:highlight w:val="none"/>
          <w:lang w:val="en-US" w:eastAsia="zh-CN"/>
        </w:rPr>
        <w:t>6</w:t>
      </w:r>
      <w:r>
        <w:rPr>
          <w:rFonts w:hint="default" w:ascii="Times New Roman" w:hAnsi="Times New Roman" w:cs="Times New Roman"/>
          <w:sz w:val="18"/>
          <w:szCs w:val="18"/>
          <w:highlight w:val="none"/>
        </w:rPr>
        <w:t>. Hamaker, E. L., Kuiper, R. M. &amp; Grasman, R. P. P. P. A critique of the cross-lagged panel model.</w:t>
      </w:r>
      <w:r>
        <w:rPr>
          <w:rFonts w:hint="default" w:ascii="Times New Roman" w:hAnsi="Times New Roman" w:cs="Times New Roman"/>
          <w:i/>
          <w:iCs/>
          <w:sz w:val="18"/>
          <w:szCs w:val="18"/>
          <w:highlight w:val="none"/>
        </w:rPr>
        <w:t xml:space="preserve"> Psychol. Methods</w:t>
      </w:r>
      <w:r>
        <w:rPr>
          <w:rFonts w:hint="default" w:ascii="Times New Roman" w:hAnsi="Times New Roman" w:cs="Times New Roman"/>
          <w:sz w:val="18"/>
          <w:szCs w:val="18"/>
          <w:highlight w:val="none"/>
        </w:rPr>
        <w:t xml:space="preserve"> </w:t>
      </w:r>
      <w:r>
        <w:rPr>
          <w:rFonts w:hint="default" w:ascii="Times New Roman" w:hAnsi="Times New Roman" w:cs="Times New Roman"/>
          <w:b/>
          <w:bCs/>
          <w:sz w:val="18"/>
          <w:szCs w:val="18"/>
          <w:highlight w:val="none"/>
        </w:rPr>
        <w:t>20,</w:t>
      </w:r>
      <w:r>
        <w:rPr>
          <w:rFonts w:hint="default" w:ascii="Times New Roman" w:hAnsi="Times New Roman" w:cs="Times New Roman"/>
          <w:sz w:val="18"/>
          <w:szCs w:val="18"/>
          <w:highlight w:val="none"/>
        </w:rPr>
        <w:t xml:space="preserve"> 102–116 (2015). https://doi.org/10.1037/a0038889</w:t>
      </w:r>
    </w:p>
    <w:p w14:paraId="3DAA76F2">
      <w:pPr>
        <w:spacing w:after="80" w:line="276" w:lineRule="auto"/>
        <w:ind w:left="432" w:hanging="432"/>
        <w:rPr>
          <w:rFonts w:hint="default" w:ascii="Times New Roman" w:hAnsi="Times New Roman" w:eastAsia="宋体" w:cs="Times New Roman"/>
          <w:sz w:val="18"/>
          <w:szCs w:val="18"/>
          <w:highlight w:val="none"/>
          <w:lang w:val="en-US" w:eastAsia="zh-CN"/>
        </w:rPr>
      </w:pPr>
      <w:r>
        <w:rPr>
          <w:rFonts w:hint="default" w:ascii="Times New Roman" w:hAnsi="Times New Roman" w:cs="Times New Roman"/>
          <w:sz w:val="18"/>
          <w:szCs w:val="18"/>
          <w:highlight w:val="none"/>
        </w:rPr>
        <w:t>3</w:t>
      </w:r>
      <w:r>
        <w:rPr>
          <w:rFonts w:hint="eastAsia" w:eastAsia="宋体" w:cs="Times New Roman"/>
          <w:sz w:val="18"/>
          <w:szCs w:val="18"/>
          <w:highlight w:val="none"/>
          <w:lang w:val="en-US" w:eastAsia="zh-CN"/>
        </w:rPr>
        <w:t>7</w:t>
      </w:r>
      <w:r>
        <w:rPr>
          <w:rFonts w:hint="default" w:ascii="Times New Roman" w:hAnsi="Times New Roman" w:cs="Times New Roman"/>
          <w:sz w:val="18"/>
          <w:szCs w:val="18"/>
          <w:highlight w:val="none"/>
        </w:rPr>
        <w:t xml:space="preserve">. Siepe, B. S. et al. Time-varying network models for the temporal dynamics of depressive symptomatology in patients with depressive disorders: secondary analysis of longitudinal observational data. </w:t>
      </w:r>
      <w:r>
        <w:rPr>
          <w:rFonts w:hint="default" w:ascii="Times New Roman" w:hAnsi="Times New Roman" w:cs="Times New Roman"/>
          <w:i/>
          <w:iCs/>
          <w:sz w:val="18"/>
          <w:szCs w:val="18"/>
          <w:highlight w:val="none"/>
        </w:rPr>
        <w:t>JMIR Ment. Health</w:t>
      </w:r>
      <w:r>
        <w:rPr>
          <w:rFonts w:hint="default" w:ascii="Times New Roman" w:hAnsi="Times New Roman" w:cs="Times New Roman"/>
          <w:b/>
          <w:bCs/>
          <w:sz w:val="18"/>
          <w:szCs w:val="18"/>
          <w:highlight w:val="none"/>
        </w:rPr>
        <w:t xml:space="preserve"> 11,</w:t>
      </w:r>
      <w:r>
        <w:rPr>
          <w:rFonts w:hint="default" w:ascii="Times New Roman" w:hAnsi="Times New Roman" w:cs="Times New Roman"/>
          <w:sz w:val="18"/>
          <w:szCs w:val="18"/>
          <w:highlight w:val="none"/>
        </w:rPr>
        <w:t xml:space="preserve"> e50136 (2024). https://doi.org/10.2196/50136</w:t>
      </w:r>
    </w:p>
    <w:p w14:paraId="3DC4DCFA">
      <w:pPr>
        <w:spacing w:after="80" w:line="276" w:lineRule="auto"/>
        <w:ind w:left="432" w:hanging="432"/>
        <w:rPr>
          <w:rFonts w:hint="default" w:ascii="Times New Roman" w:hAnsi="Times New Roman" w:cs="Times New Roman"/>
          <w:sz w:val="18"/>
          <w:szCs w:val="18"/>
          <w:highlight w:val="none"/>
          <w:lang w:val="en-US" w:eastAsia="zh-CN"/>
        </w:rPr>
      </w:pPr>
      <w:r>
        <w:rPr>
          <w:rFonts w:hint="default" w:ascii="Times New Roman" w:hAnsi="Times New Roman" w:eastAsia="宋体" w:cs="Times New Roman"/>
          <w:sz w:val="18"/>
          <w:szCs w:val="18"/>
          <w:highlight w:val="none"/>
          <w:lang w:val="en-US" w:eastAsia="zh-CN"/>
        </w:rPr>
        <w:t>3</w:t>
      </w:r>
      <w:r>
        <w:rPr>
          <w:rFonts w:hint="eastAsia" w:eastAsia="宋体" w:cs="Times New Roman"/>
          <w:sz w:val="18"/>
          <w:szCs w:val="18"/>
          <w:highlight w:val="none"/>
          <w:lang w:val="en-US" w:eastAsia="zh-CN"/>
        </w:rPr>
        <w:t>8</w:t>
      </w:r>
      <w:r>
        <w:rPr>
          <w:rFonts w:hint="default" w:ascii="Times New Roman" w:hAnsi="Times New Roman" w:eastAsia="宋体" w:cs="Times New Roman"/>
          <w:sz w:val="18"/>
          <w:szCs w:val="18"/>
          <w:highlight w:val="none"/>
          <w:lang w:val="en-US" w:eastAsia="zh-CN"/>
        </w:rPr>
        <w:t xml:space="preserve">. </w:t>
      </w:r>
      <w:r>
        <w:rPr>
          <w:rFonts w:hint="default" w:ascii="Times New Roman" w:hAnsi="Times New Roman" w:cs="Times New Roman"/>
          <w:sz w:val="18"/>
          <w:szCs w:val="18"/>
          <w:highlight w:val="none"/>
        </w:rPr>
        <w:t>Mak, K. K. et al. Psychometric properties of the revised Chen Internet Addiction Scale (CIAS-R) in Chinese adolescents.</w:t>
      </w:r>
      <w:r>
        <w:rPr>
          <w:rFonts w:hint="default" w:ascii="Times New Roman" w:hAnsi="Times New Roman" w:cs="Times New Roman"/>
          <w:i/>
          <w:iCs/>
          <w:sz w:val="18"/>
          <w:szCs w:val="18"/>
          <w:highlight w:val="none"/>
        </w:rPr>
        <w:t xml:space="preserve"> J. Abnorm. Child Psychol.</w:t>
      </w:r>
      <w:r>
        <w:rPr>
          <w:rFonts w:hint="default" w:ascii="Times New Roman" w:hAnsi="Times New Roman" w:cs="Times New Roman"/>
          <w:sz w:val="18"/>
          <w:szCs w:val="18"/>
          <w:highlight w:val="none"/>
        </w:rPr>
        <w:t xml:space="preserve"> </w:t>
      </w:r>
      <w:r>
        <w:rPr>
          <w:rFonts w:hint="default" w:ascii="Times New Roman" w:hAnsi="Times New Roman" w:cs="Times New Roman"/>
          <w:b/>
          <w:bCs/>
          <w:sz w:val="18"/>
          <w:szCs w:val="18"/>
          <w:highlight w:val="none"/>
        </w:rPr>
        <w:t xml:space="preserve">42, </w:t>
      </w:r>
      <w:r>
        <w:rPr>
          <w:rFonts w:hint="default" w:ascii="Times New Roman" w:hAnsi="Times New Roman" w:cs="Times New Roman"/>
          <w:sz w:val="18"/>
          <w:szCs w:val="18"/>
          <w:highlight w:val="none"/>
        </w:rPr>
        <w:t>1237–1245 (2014). https://doi.org/10.1007/s10802-014-9851-3</w:t>
      </w:r>
    </w:p>
    <w:p w14:paraId="410C64A3">
      <w:pPr>
        <w:spacing w:after="80" w:line="276" w:lineRule="auto"/>
        <w:ind w:left="432" w:hanging="432"/>
        <w:rPr>
          <w:rFonts w:hint="default" w:ascii="Times New Roman" w:hAnsi="Times New Roman" w:cs="Times New Roman"/>
          <w:sz w:val="18"/>
          <w:szCs w:val="18"/>
          <w:highlight w:val="none"/>
        </w:rPr>
      </w:pPr>
      <w:r>
        <w:rPr>
          <w:rFonts w:hint="default" w:ascii="Times New Roman" w:hAnsi="Times New Roman" w:eastAsia="宋体" w:cs="Times New Roman"/>
          <w:sz w:val="18"/>
          <w:szCs w:val="18"/>
          <w:highlight w:val="none"/>
          <w:lang w:val="en-US" w:eastAsia="zh-CN"/>
        </w:rPr>
        <w:t>3</w:t>
      </w:r>
      <w:r>
        <w:rPr>
          <w:rFonts w:hint="eastAsia" w:eastAsia="宋体" w:cs="Times New Roman"/>
          <w:sz w:val="18"/>
          <w:szCs w:val="18"/>
          <w:highlight w:val="none"/>
          <w:lang w:val="en-US" w:eastAsia="zh-CN"/>
        </w:rPr>
        <w:t>9</w:t>
      </w:r>
      <w:r>
        <w:rPr>
          <w:rFonts w:hint="default" w:ascii="Times New Roman" w:hAnsi="Times New Roman" w:cs="Times New Roman"/>
          <w:sz w:val="18"/>
          <w:szCs w:val="18"/>
          <w:highlight w:val="none"/>
        </w:rPr>
        <w:t xml:space="preserve">. Henry, J. D. &amp; Crawford, J. R. The short-form version of the Depression Anxiety Stress Scales (DASS-21): construct validity and normative data in a large non-clinical sample. </w:t>
      </w:r>
      <w:r>
        <w:rPr>
          <w:rFonts w:hint="default" w:ascii="Times New Roman" w:hAnsi="Times New Roman" w:cs="Times New Roman"/>
          <w:i/>
          <w:iCs/>
          <w:sz w:val="18"/>
          <w:szCs w:val="18"/>
          <w:highlight w:val="none"/>
        </w:rPr>
        <w:t xml:space="preserve">Br. J. Clin. Psychol. </w:t>
      </w:r>
      <w:r>
        <w:rPr>
          <w:rFonts w:hint="default" w:ascii="Times New Roman" w:hAnsi="Times New Roman" w:cs="Times New Roman"/>
          <w:b/>
          <w:bCs/>
          <w:sz w:val="18"/>
          <w:szCs w:val="18"/>
          <w:highlight w:val="none"/>
        </w:rPr>
        <w:t>44,</w:t>
      </w:r>
      <w:r>
        <w:rPr>
          <w:rFonts w:hint="default" w:ascii="Times New Roman" w:hAnsi="Times New Roman" w:cs="Times New Roman"/>
          <w:sz w:val="18"/>
          <w:szCs w:val="18"/>
          <w:highlight w:val="none"/>
        </w:rPr>
        <w:t xml:space="preserve"> 227–239 (2005). https://doi.org/10.1348/014466505X29657</w:t>
      </w:r>
    </w:p>
    <w:p w14:paraId="137D9D61">
      <w:pPr>
        <w:spacing w:after="80" w:line="276" w:lineRule="auto"/>
        <w:ind w:left="432" w:hanging="432"/>
        <w:rPr>
          <w:rFonts w:hint="default" w:ascii="Times New Roman" w:hAnsi="Times New Roman" w:cs="Times New Roman"/>
          <w:sz w:val="18"/>
          <w:szCs w:val="18"/>
          <w:highlight w:val="none"/>
        </w:rPr>
      </w:pPr>
      <w:r>
        <w:rPr>
          <w:rFonts w:hint="eastAsia" w:eastAsia="宋体" w:cs="Times New Roman"/>
          <w:sz w:val="18"/>
          <w:szCs w:val="18"/>
          <w:highlight w:val="none"/>
          <w:lang w:val="en-US" w:eastAsia="zh-CN"/>
        </w:rPr>
        <w:t>40</w:t>
      </w:r>
      <w:r>
        <w:rPr>
          <w:rFonts w:hint="default" w:ascii="Times New Roman" w:hAnsi="Times New Roman" w:cs="Times New Roman"/>
          <w:sz w:val="18"/>
          <w:szCs w:val="18"/>
          <w:highlight w:val="none"/>
        </w:rPr>
        <w:t>. Goodman, R. The Strengths and Difficulties Questionnaire: a research note.</w:t>
      </w:r>
      <w:r>
        <w:rPr>
          <w:rFonts w:hint="default" w:ascii="Times New Roman" w:hAnsi="Times New Roman" w:cs="Times New Roman"/>
          <w:i/>
          <w:iCs/>
          <w:sz w:val="18"/>
          <w:szCs w:val="18"/>
          <w:highlight w:val="none"/>
        </w:rPr>
        <w:t xml:space="preserve"> J. Child Psychol. Psychiatry</w:t>
      </w:r>
      <w:r>
        <w:rPr>
          <w:rFonts w:hint="default" w:ascii="Times New Roman" w:hAnsi="Times New Roman" w:cs="Times New Roman"/>
          <w:sz w:val="18"/>
          <w:szCs w:val="18"/>
          <w:highlight w:val="none"/>
        </w:rPr>
        <w:t xml:space="preserve"> </w:t>
      </w:r>
      <w:r>
        <w:rPr>
          <w:rFonts w:hint="default" w:ascii="Times New Roman" w:hAnsi="Times New Roman" w:cs="Times New Roman"/>
          <w:b/>
          <w:bCs/>
          <w:sz w:val="18"/>
          <w:szCs w:val="18"/>
          <w:highlight w:val="none"/>
        </w:rPr>
        <w:t>38,</w:t>
      </w:r>
      <w:r>
        <w:rPr>
          <w:rFonts w:hint="default" w:ascii="Times New Roman" w:hAnsi="Times New Roman" w:cs="Times New Roman"/>
          <w:sz w:val="18"/>
          <w:szCs w:val="18"/>
          <w:highlight w:val="none"/>
        </w:rPr>
        <w:t xml:space="preserve"> 581–586 (1997). https://doi.org/10.1111/j.1469-7610.1997.tb01545.x</w:t>
      </w:r>
    </w:p>
    <w:p w14:paraId="550B55BF">
      <w:pPr>
        <w:spacing w:after="80" w:line="276" w:lineRule="auto"/>
        <w:ind w:left="432" w:hanging="432"/>
        <w:rPr>
          <w:rFonts w:hint="default" w:ascii="Times New Roman" w:hAnsi="Times New Roman" w:cs="Times New Roman"/>
          <w:sz w:val="18"/>
          <w:szCs w:val="18"/>
          <w:highlight w:val="none"/>
        </w:rPr>
      </w:pPr>
      <w:r>
        <w:rPr>
          <w:rFonts w:hint="default" w:ascii="Times New Roman" w:hAnsi="Times New Roman" w:eastAsia="宋体" w:cs="Times New Roman"/>
          <w:sz w:val="18"/>
          <w:szCs w:val="18"/>
          <w:highlight w:val="none"/>
          <w:lang w:val="en-US" w:eastAsia="zh-CN"/>
        </w:rPr>
        <w:t>4</w:t>
      </w:r>
      <w:r>
        <w:rPr>
          <w:rFonts w:hint="eastAsia" w:eastAsia="宋体" w:cs="Times New Roman"/>
          <w:sz w:val="18"/>
          <w:szCs w:val="18"/>
          <w:highlight w:val="none"/>
          <w:lang w:val="en-US" w:eastAsia="zh-CN"/>
        </w:rPr>
        <w:t>1</w:t>
      </w:r>
      <w:r>
        <w:rPr>
          <w:rFonts w:hint="default" w:ascii="Times New Roman" w:hAnsi="Times New Roman" w:cs="Times New Roman"/>
          <w:sz w:val="18"/>
          <w:szCs w:val="18"/>
          <w:highlight w:val="none"/>
        </w:rPr>
        <w:t xml:space="preserve">. Bastien, C. H., Vallières, A. &amp; Morin, C. M. Validation of the Insomnia Severity Index as an outcome measure for insomnia research. </w:t>
      </w:r>
      <w:r>
        <w:rPr>
          <w:rFonts w:hint="default" w:ascii="Times New Roman" w:hAnsi="Times New Roman" w:cs="Times New Roman"/>
          <w:i/>
          <w:iCs/>
          <w:sz w:val="18"/>
          <w:szCs w:val="18"/>
          <w:highlight w:val="none"/>
        </w:rPr>
        <w:t xml:space="preserve">Sleep Med. </w:t>
      </w:r>
      <w:r>
        <w:rPr>
          <w:rFonts w:hint="default" w:ascii="Times New Roman" w:hAnsi="Times New Roman" w:cs="Times New Roman"/>
          <w:b/>
          <w:bCs/>
          <w:sz w:val="18"/>
          <w:szCs w:val="18"/>
          <w:highlight w:val="none"/>
        </w:rPr>
        <w:t xml:space="preserve">2, </w:t>
      </w:r>
      <w:r>
        <w:rPr>
          <w:rFonts w:hint="default" w:ascii="Times New Roman" w:hAnsi="Times New Roman" w:cs="Times New Roman"/>
          <w:sz w:val="18"/>
          <w:szCs w:val="18"/>
          <w:highlight w:val="none"/>
        </w:rPr>
        <w:t xml:space="preserve">297–307 (2001). </w:t>
      </w:r>
      <w:r>
        <w:rPr>
          <w:rFonts w:hint="default" w:ascii="Times New Roman" w:hAnsi="Times New Roman" w:cs="Times New Roman"/>
          <w:sz w:val="18"/>
          <w:szCs w:val="18"/>
          <w:highlight w:val="none"/>
        </w:rPr>
        <w:fldChar w:fldCharType="begin"/>
      </w:r>
      <w:r>
        <w:rPr>
          <w:rFonts w:hint="default" w:ascii="Times New Roman" w:hAnsi="Times New Roman" w:cs="Times New Roman"/>
          <w:sz w:val="18"/>
          <w:szCs w:val="18"/>
          <w:highlight w:val="none"/>
        </w:rPr>
        <w:instrText xml:space="preserve"> HYPERLINK "https://doi.org/10.1016/S1389-9457(00)00065-4" </w:instrText>
      </w:r>
      <w:r>
        <w:rPr>
          <w:rFonts w:hint="default" w:ascii="Times New Roman" w:hAnsi="Times New Roman" w:cs="Times New Roman"/>
          <w:sz w:val="18"/>
          <w:szCs w:val="18"/>
          <w:highlight w:val="none"/>
        </w:rPr>
        <w:fldChar w:fldCharType="separate"/>
      </w:r>
      <w:r>
        <w:rPr>
          <w:rFonts w:hint="default" w:ascii="Times New Roman" w:hAnsi="Times New Roman" w:cs="Times New Roman"/>
          <w:sz w:val="18"/>
          <w:szCs w:val="18"/>
          <w:highlight w:val="none"/>
        </w:rPr>
        <w:t>https://doi.org/10.1016/S1389-9457(00)00065-4</w:t>
      </w:r>
      <w:r>
        <w:rPr>
          <w:rFonts w:hint="default" w:ascii="Times New Roman" w:hAnsi="Times New Roman" w:cs="Times New Roman"/>
          <w:sz w:val="18"/>
          <w:szCs w:val="18"/>
          <w:highlight w:val="none"/>
        </w:rPr>
        <w:fldChar w:fldCharType="end"/>
      </w:r>
    </w:p>
    <w:p w14:paraId="4C18D24A">
      <w:pPr>
        <w:spacing w:after="80" w:line="276" w:lineRule="auto"/>
        <w:ind w:left="432" w:hanging="432"/>
        <w:rPr>
          <w:rFonts w:hint="default" w:ascii="Times New Roman" w:hAnsi="Times New Roman" w:eastAsia="宋体" w:cs="Times New Roman"/>
          <w:sz w:val="18"/>
          <w:szCs w:val="18"/>
          <w:highlight w:val="none"/>
          <w:lang w:val="en-US" w:eastAsia="zh-CN"/>
        </w:rPr>
      </w:pPr>
      <w:r>
        <w:rPr>
          <w:rFonts w:hint="default" w:ascii="Times New Roman" w:hAnsi="Times New Roman" w:eastAsia="宋体" w:cs="Times New Roman"/>
          <w:sz w:val="18"/>
          <w:szCs w:val="18"/>
          <w:highlight w:val="none"/>
          <w:lang w:val="en-US" w:eastAsia="zh-CN"/>
        </w:rPr>
        <w:t>4</w:t>
      </w:r>
      <w:r>
        <w:rPr>
          <w:rFonts w:hint="eastAsia" w:eastAsia="宋体" w:cs="Times New Roman"/>
          <w:sz w:val="18"/>
          <w:szCs w:val="18"/>
          <w:highlight w:val="none"/>
          <w:lang w:val="en-US" w:eastAsia="zh-CN"/>
        </w:rPr>
        <w:t>2</w:t>
      </w:r>
      <w:r>
        <w:rPr>
          <w:rFonts w:hint="default" w:ascii="Times New Roman" w:hAnsi="Times New Roman" w:eastAsia="宋体" w:cs="Times New Roman"/>
          <w:sz w:val="18"/>
          <w:szCs w:val="18"/>
          <w:highlight w:val="none"/>
          <w:lang w:val="en-US" w:eastAsia="zh-CN"/>
        </w:rPr>
        <w:t>. Schulte, E. M. &amp; Gearhardt, A. N. Development of the Modified Yale Food Addiction Scale Version 2.0.</w:t>
      </w:r>
      <w:r>
        <w:rPr>
          <w:rFonts w:hint="default" w:ascii="Times New Roman" w:hAnsi="Times New Roman" w:eastAsia="宋体" w:cs="Times New Roman"/>
          <w:i/>
          <w:iCs/>
          <w:sz w:val="18"/>
          <w:szCs w:val="18"/>
          <w:highlight w:val="none"/>
          <w:lang w:val="en-US" w:eastAsia="zh-CN"/>
        </w:rPr>
        <w:t xml:space="preserve"> Eur. Eat. Disord. Rev.</w:t>
      </w:r>
      <w:r>
        <w:rPr>
          <w:rFonts w:hint="default" w:ascii="Times New Roman" w:hAnsi="Times New Roman" w:eastAsia="宋体" w:cs="Times New Roman"/>
          <w:b/>
          <w:bCs/>
          <w:sz w:val="18"/>
          <w:szCs w:val="18"/>
          <w:highlight w:val="none"/>
          <w:lang w:val="en-US" w:eastAsia="zh-CN"/>
        </w:rPr>
        <w:t xml:space="preserve"> 25,</w:t>
      </w:r>
      <w:r>
        <w:rPr>
          <w:rFonts w:hint="default" w:ascii="Times New Roman" w:hAnsi="Times New Roman" w:eastAsia="宋体" w:cs="Times New Roman"/>
          <w:sz w:val="18"/>
          <w:szCs w:val="18"/>
          <w:highlight w:val="none"/>
          <w:lang w:val="en-US" w:eastAsia="zh-CN"/>
        </w:rPr>
        <w:t xml:space="preserve"> 302–308 (2017). https://doi.org/10.1002/erv.2515</w:t>
      </w:r>
    </w:p>
    <w:p w14:paraId="62BFF992">
      <w:pPr>
        <w:spacing w:after="80" w:line="276" w:lineRule="auto"/>
        <w:ind w:left="432" w:hanging="432"/>
        <w:rPr>
          <w:rFonts w:hint="default" w:ascii="Times New Roman" w:hAnsi="Times New Roman" w:eastAsia="宋体" w:cs="Times New Roman"/>
          <w:sz w:val="18"/>
          <w:szCs w:val="18"/>
          <w:highlight w:val="none"/>
          <w:lang w:val="en-US" w:eastAsia="zh-CN"/>
        </w:rPr>
      </w:pPr>
      <w:r>
        <w:rPr>
          <w:rFonts w:hint="default" w:ascii="Times New Roman" w:hAnsi="Times New Roman" w:eastAsia="宋体" w:cs="Times New Roman"/>
          <w:sz w:val="18"/>
          <w:szCs w:val="18"/>
          <w:highlight w:val="none"/>
          <w:lang w:val="en-US" w:eastAsia="zh-CN"/>
        </w:rPr>
        <w:t>4</w:t>
      </w:r>
      <w:r>
        <w:rPr>
          <w:rFonts w:hint="eastAsia" w:eastAsia="宋体" w:cs="Times New Roman"/>
          <w:sz w:val="18"/>
          <w:szCs w:val="18"/>
          <w:highlight w:val="none"/>
          <w:lang w:val="en-US" w:eastAsia="zh-CN"/>
        </w:rPr>
        <w:t>3</w:t>
      </w:r>
      <w:r>
        <w:rPr>
          <w:rFonts w:hint="default" w:ascii="Times New Roman" w:hAnsi="Times New Roman" w:eastAsia="宋体" w:cs="Times New Roman"/>
          <w:sz w:val="18"/>
          <w:szCs w:val="18"/>
          <w:highlight w:val="none"/>
          <w:lang w:val="en-US" w:eastAsia="zh-CN"/>
        </w:rPr>
        <w:t>. Zhang, H. et al. Translation of the Chinese version of the modified Yale Food Addiction Scale 2.0 and its validation among college students.</w:t>
      </w:r>
      <w:r>
        <w:rPr>
          <w:rFonts w:hint="default" w:ascii="Times New Roman" w:hAnsi="Times New Roman" w:eastAsia="宋体" w:cs="Times New Roman"/>
          <w:i/>
          <w:iCs/>
          <w:sz w:val="18"/>
          <w:szCs w:val="18"/>
          <w:highlight w:val="none"/>
          <w:lang w:val="en-US" w:eastAsia="zh-CN"/>
        </w:rPr>
        <w:t xml:space="preserve"> J. Eat. Disord.</w:t>
      </w:r>
      <w:r>
        <w:rPr>
          <w:rFonts w:hint="default" w:ascii="Times New Roman" w:hAnsi="Times New Roman" w:eastAsia="宋体" w:cs="Times New Roman"/>
          <w:sz w:val="18"/>
          <w:szCs w:val="18"/>
          <w:highlight w:val="none"/>
          <w:lang w:val="en-US" w:eastAsia="zh-CN"/>
        </w:rPr>
        <w:t xml:space="preserve"> </w:t>
      </w:r>
      <w:r>
        <w:rPr>
          <w:rFonts w:hint="default" w:ascii="Times New Roman" w:hAnsi="Times New Roman" w:eastAsia="宋体" w:cs="Times New Roman"/>
          <w:b/>
          <w:bCs/>
          <w:sz w:val="18"/>
          <w:szCs w:val="18"/>
          <w:highlight w:val="none"/>
          <w:lang w:val="en-US" w:eastAsia="zh-CN"/>
        </w:rPr>
        <w:t xml:space="preserve">9, </w:t>
      </w:r>
      <w:r>
        <w:rPr>
          <w:rFonts w:hint="default" w:ascii="Times New Roman" w:hAnsi="Times New Roman" w:eastAsia="宋体" w:cs="Times New Roman"/>
          <w:sz w:val="18"/>
          <w:szCs w:val="18"/>
          <w:highlight w:val="none"/>
          <w:lang w:val="en-US" w:eastAsia="zh-CN"/>
        </w:rPr>
        <w:t xml:space="preserve">116 (2021). </w:t>
      </w:r>
      <w:r>
        <w:rPr>
          <w:rFonts w:hint="default" w:ascii="Times New Roman" w:hAnsi="Times New Roman" w:cs="Times New Roman"/>
          <w:sz w:val="18"/>
          <w:szCs w:val="18"/>
          <w:highlight w:val="none"/>
          <w:lang w:val="en-US" w:eastAsia="zh-CN"/>
        </w:rPr>
        <w:fldChar w:fldCharType="begin"/>
      </w:r>
      <w:r>
        <w:rPr>
          <w:rFonts w:hint="default" w:ascii="Times New Roman" w:hAnsi="Times New Roman" w:cs="Times New Roman"/>
          <w:sz w:val="18"/>
          <w:szCs w:val="18"/>
          <w:highlight w:val="none"/>
          <w:lang w:val="en-US" w:eastAsia="zh-CN"/>
        </w:rPr>
        <w:instrText xml:space="preserve"> HYPERLINK "https://doi.org/10.1186/s40337-021-00471-z" </w:instrText>
      </w:r>
      <w:r>
        <w:rPr>
          <w:rFonts w:hint="default" w:ascii="Times New Roman" w:hAnsi="Times New Roman" w:cs="Times New Roman"/>
          <w:sz w:val="18"/>
          <w:szCs w:val="18"/>
          <w:highlight w:val="none"/>
          <w:lang w:val="en-US" w:eastAsia="zh-CN"/>
        </w:rPr>
        <w:fldChar w:fldCharType="separate"/>
      </w:r>
      <w:r>
        <w:rPr>
          <w:rFonts w:hint="default" w:ascii="Times New Roman" w:hAnsi="Times New Roman" w:cs="Times New Roman"/>
          <w:sz w:val="18"/>
          <w:szCs w:val="18"/>
          <w:highlight w:val="none"/>
          <w:lang w:val="en-US" w:eastAsia="zh-CN"/>
        </w:rPr>
        <w:t>https://doi.org/10.1186/s40337-021-00471-z</w:t>
      </w:r>
      <w:r>
        <w:rPr>
          <w:rFonts w:hint="default" w:ascii="Times New Roman" w:hAnsi="Times New Roman" w:cs="Times New Roman"/>
          <w:sz w:val="18"/>
          <w:szCs w:val="18"/>
          <w:highlight w:val="none"/>
          <w:lang w:val="en-US" w:eastAsia="zh-CN"/>
        </w:rPr>
        <w:fldChar w:fldCharType="end"/>
      </w:r>
    </w:p>
    <w:p w14:paraId="0AB14155">
      <w:pPr>
        <w:spacing w:after="80" w:line="276" w:lineRule="auto"/>
        <w:ind w:left="432" w:hanging="432"/>
        <w:rPr>
          <w:rFonts w:hint="default" w:ascii="Times New Roman" w:hAnsi="Times New Roman" w:eastAsia="宋体" w:cs="Times New Roman"/>
          <w:sz w:val="18"/>
          <w:szCs w:val="18"/>
          <w:highlight w:val="none"/>
          <w:lang w:val="en-US" w:eastAsia="zh-CN"/>
        </w:rPr>
      </w:pPr>
      <w:r>
        <w:rPr>
          <w:rFonts w:hint="default" w:ascii="Times New Roman" w:hAnsi="Times New Roman" w:eastAsia="宋体" w:cs="Times New Roman"/>
          <w:sz w:val="18"/>
          <w:szCs w:val="18"/>
          <w:highlight w:val="none"/>
          <w:lang w:val="en-US" w:eastAsia="zh-CN"/>
        </w:rPr>
        <w:t>4</w:t>
      </w:r>
      <w:r>
        <w:rPr>
          <w:rFonts w:hint="eastAsia" w:eastAsia="宋体" w:cs="Times New Roman"/>
          <w:sz w:val="18"/>
          <w:szCs w:val="18"/>
          <w:highlight w:val="none"/>
          <w:lang w:val="en-US" w:eastAsia="zh-CN"/>
        </w:rPr>
        <w:t>4</w:t>
      </w:r>
      <w:r>
        <w:rPr>
          <w:rFonts w:hint="default" w:ascii="Times New Roman" w:hAnsi="Times New Roman" w:eastAsia="宋体" w:cs="Times New Roman"/>
          <w:sz w:val="18"/>
          <w:szCs w:val="18"/>
          <w:highlight w:val="none"/>
          <w:lang w:val="en-US" w:eastAsia="zh-CN"/>
        </w:rPr>
        <w:t>. Craig, C. L. et al. International physical activity questionnaire: 12-country reliability and validity.</w:t>
      </w:r>
      <w:r>
        <w:rPr>
          <w:rFonts w:hint="default" w:ascii="Times New Roman" w:hAnsi="Times New Roman" w:eastAsia="宋体" w:cs="Times New Roman"/>
          <w:i/>
          <w:iCs/>
          <w:sz w:val="18"/>
          <w:szCs w:val="18"/>
          <w:highlight w:val="none"/>
          <w:lang w:val="en-US" w:eastAsia="zh-CN"/>
        </w:rPr>
        <w:t xml:space="preserve"> Med. Sci. Sports Exerc.</w:t>
      </w:r>
      <w:r>
        <w:rPr>
          <w:rFonts w:hint="default" w:ascii="Times New Roman" w:hAnsi="Times New Roman" w:eastAsia="宋体" w:cs="Times New Roman"/>
          <w:sz w:val="18"/>
          <w:szCs w:val="18"/>
          <w:highlight w:val="none"/>
          <w:lang w:val="en-US" w:eastAsia="zh-CN"/>
        </w:rPr>
        <w:t xml:space="preserve"> </w:t>
      </w:r>
      <w:r>
        <w:rPr>
          <w:rFonts w:hint="default" w:ascii="Times New Roman" w:hAnsi="Times New Roman" w:eastAsia="宋体" w:cs="Times New Roman"/>
          <w:b/>
          <w:bCs/>
          <w:sz w:val="18"/>
          <w:szCs w:val="18"/>
          <w:highlight w:val="none"/>
          <w:lang w:val="en-US" w:eastAsia="zh-CN"/>
        </w:rPr>
        <w:t>35,</w:t>
      </w:r>
      <w:r>
        <w:rPr>
          <w:rFonts w:hint="default" w:ascii="Times New Roman" w:hAnsi="Times New Roman" w:eastAsia="宋体" w:cs="Times New Roman"/>
          <w:sz w:val="18"/>
          <w:szCs w:val="18"/>
          <w:highlight w:val="none"/>
          <w:lang w:val="en-US" w:eastAsia="zh-CN"/>
        </w:rPr>
        <w:t xml:space="preserve"> 1381–1395 (2003). https://doi.org/10.1249/01.MSS.0000078924.61453.FB</w:t>
      </w:r>
    </w:p>
    <w:p w14:paraId="4FC82974">
      <w:pPr>
        <w:spacing w:after="80" w:line="276" w:lineRule="auto"/>
        <w:ind w:left="432" w:hanging="432"/>
        <w:rPr>
          <w:rFonts w:hint="default" w:ascii="Times New Roman" w:hAnsi="Times New Roman" w:eastAsia="宋体" w:cs="Times New Roman"/>
          <w:sz w:val="18"/>
          <w:szCs w:val="18"/>
          <w:highlight w:val="none"/>
          <w:lang w:val="en-US" w:eastAsia="zh-CN"/>
        </w:rPr>
      </w:pPr>
      <w:r>
        <w:rPr>
          <w:rFonts w:hint="default" w:ascii="Times New Roman" w:hAnsi="Times New Roman" w:eastAsia="宋体" w:cs="Times New Roman"/>
          <w:sz w:val="18"/>
          <w:szCs w:val="18"/>
          <w:highlight w:val="none"/>
          <w:lang w:val="en-US" w:eastAsia="zh-CN"/>
        </w:rPr>
        <w:t>4</w:t>
      </w:r>
      <w:r>
        <w:rPr>
          <w:rFonts w:hint="eastAsia" w:eastAsia="宋体" w:cs="Times New Roman"/>
          <w:sz w:val="18"/>
          <w:szCs w:val="18"/>
          <w:highlight w:val="none"/>
          <w:lang w:val="en-US" w:eastAsia="zh-CN"/>
        </w:rPr>
        <w:t>5.</w:t>
      </w:r>
      <w:r>
        <w:rPr>
          <w:rFonts w:hint="default" w:ascii="Times New Roman" w:hAnsi="Times New Roman" w:eastAsia="宋体" w:cs="Times New Roman"/>
          <w:sz w:val="18"/>
          <w:szCs w:val="18"/>
          <w:highlight w:val="none"/>
          <w:lang w:val="en-US" w:eastAsia="zh-CN"/>
        </w:rPr>
        <w:t xml:space="preserve"> Wang, C., Chen, P. &amp; Zhuang, J. Validity and reliability of International Physical Activity Questionnaire–Short Form in Chinese youth. </w:t>
      </w:r>
      <w:r>
        <w:rPr>
          <w:rFonts w:hint="default" w:ascii="Times New Roman" w:hAnsi="Times New Roman" w:eastAsia="宋体" w:cs="Times New Roman"/>
          <w:i/>
          <w:iCs/>
          <w:sz w:val="18"/>
          <w:szCs w:val="18"/>
          <w:highlight w:val="none"/>
          <w:lang w:val="en-US" w:eastAsia="zh-CN"/>
        </w:rPr>
        <w:t>Res. Q. Exerc. Sport</w:t>
      </w:r>
      <w:r>
        <w:rPr>
          <w:rFonts w:hint="default" w:ascii="Times New Roman" w:hAnsi="Times New Roman" w:eastAsia="宋体" w:cs="Times New Roman"/>
          <w:sz w:val="18"/>
          <w:szCs w:val="18"/>
          <w:highlight w:val="none"/>
          <w:lang w:val="en-US" w:eastAsia="zh-CN"/>
        </w:rPr>
        <w:t xml:space="preserve"> </w:t>
      </w:r>
      <w:r>
        <w:rPr>
          <w:rFonts w:hint="default" w:ascii="Times New Roman" w:hAnsi="Times New Roman" w:eastAsia="宋体" w:cs="Times New Roman"/>
          <w:b/>
          <w:bCs/>
          <w:sz w:val="18"/>
          <w:szCs w:val="18"/>
          <w:highlight w:val="none"/>
          <w:lang w:val="en-US" w:eastAsia="zh-CN"/>
        </w:rPr>
        <w:t xml:space="preserve">84, </w:t>
      </w:r>
      <w:r>
        <w:rPr>
          <w:rFonts w:hint="default" w:ascii="Times New Roman" w:hAnsi="Times New Roman" w:eastAsia="宋体" w:cs="Times New Roman"/>
          <w:sz w:val="18"/>
          <w:szCs w:val="18"/>
          <w:highlight w:val="none"/>
          <w:lang w:val="en-US" w:eastAsia="zh-CN"/>
        </w:rPr>
        <w:t xml:space="preserve">S80–S86 (2013). </w:t>
      </w:r>
      <w:r>
        <w:rPr>
          <w:rFonts w:hint="default" w:ascii="Times New Roman" w:hAnsi="Times New Roman" w:eastAsia="宋体" w:cs="Times New Roman"/>
          <w:sz w:val="18"/>
          <w:szCs w:val="18"/>
          <w:highlight w:val="none"/>
          <w:lang w:val="en-US" w:eastAsia="zh-CN"/>
        </w:rPr>
        <w:fldChar w:fldCharType="begin"/>
      </w:r>
      <w:r>
        <w:rPr>
          <w:rFonts w:hint="default" w:ascii="Times New Roman" w:hAnsi="Times New Roman" w:eastAsia="宋体" w:cs="Times New Roman"/>
          <w:sz w:val="18"/>
          <w:szCs w:val="18"/>
          <w:highlight w:val="none"/>
          <w:lang w:val="en-US" w:eastAsia="zh-CN"/>
        </w:rPr>
        <w:instrText xml:space="preserve"> HYPERLINK "https://doi.org/10.1080/02701367.2013.850991" </w:instrText>
      </w:r>
      <w:r>
        <w:rPr>
          <w:rFonts w:hint="default" w:ascii="Times New Roman" w:hAnsi="Times New Roman" w:eastAsia="宋体" w:cs="Times New Roman"/>
          <w:sz w:val="18"/>
          <w:szCs w:val="18"/>
          <w:highlight w:val="none"/>
          <w:lang w:val="en-US" w:eastAsia="zh-CN"/>
        </w:rPr>
        <w:fldChar w:fldCharType="separate"/>
      </w:r>
      <w:r>
        <w:rPr>
          <w:rFonts w:hint="default" w:ascii="Times New Roman" w:hAnsi="Times New Roman" w:eastAsia="宋体" w:cs="Times New Roman"/>
          <w:sz w:val="18"/>
          <w:szCs w:val="18"/>
          <w:highlight w:val="none"/>
          <w:lang w:val="en-US" w:eastAsia="zh-CN"/>
        </w:rPr>
        <w:t>https://doi.org/10.1080/02701367.2013.850991</w:t>
      </w:r>
      <w:r>
        <w:rPr>
          <w:rFonts w:hint="default" w:ascii="Times New Roman" w:hAnsi="Times New Roman" w:eastAsia="宋体" w:cs="Times New Roman"/>
          <w:sz w:val="18"/>
          <w:szCs w:val="18"/>
          <w:highlight w:val="none"/>
          <w:lang w:val="en-US" w:eastAsia="zh-CN"/>
        </w:rPr>
        <w:fldChar w:fldCharType="end"/>
      </w:r>
    </w:p>
    <w:p w14:paraId="675CB5B4">
      <w:pPr>
        <w:spacing w:after="80" w:line="276" w:lineRule="auto"/>
        <w:ind w:left="432" w:hanging="432"/>
        <w:rPr>
          <w:rFonts w:hint="default" w:ascii="Times New Roman" w:hAnsi="Times New Roman" w:cs="Times New Roman"/>
          <w:sz w:val="18"/>
          <w:szCs w:val="18"/>
          <w:highlight w:val="none"/>
        </w:rPr>
      </w:pPr>
      <w:r>
        <w:rPr>
          <w:rFonts w:hint="default" w:ascii="Times New Roman" w:hAnsi="Times New Roman" w:eastAsia="宋体" w:cs="Times New Roman"/>
          <w:sz w:val="18"/>
          <w:szCs w:val="18"/>
          <w:highlight w:val="none"/>
          <w:lang w:val="en-US" w:eastAsia="zh-CN"/>
        </w:rPr>
        <w:t>4</w:t>
      </w:r>
      <w:r>
        <w:rPr>
          <w:rFonts w:hint="eastAsia" w:eastAsia="宋体" w:cs="Times New Roman"/>
          <w:sz w:val="18"/>
          <w:szCs w:val="18"/>
          <w:highlight w:val="none"/>
          <w:lang w:val="en-US" w:eastAsia="zh-CN"/>
        </w:rPr>
        <w:t>6</w:t>
      </w:r>
      <w:r>
        <w:rPr>
          <w:rFonts w:hint="default" w:ascii="Times New Roman" w:hAnsi="Times New Roman" w:cs="Times New Roman"/>
          <w:sz w:val="18"/>
          <w:szCs w:val="18"/>
          <w:highlight w:val="none"/>
        </w:rPr>
        <w:t xml:space="preserve">. University of London, Institute of Education, Centre for Longitudinal Studies. Millennium Cohort Study: </w:t>
      </w:r>
      <w:r>
        <w:rPr>
          <w:rFonts w:hint="default" w:ascii="Times New Roman" w:hAnsi="Times New Roman" w:cs="Times New Roman"/>
          <w:i/>
          <w:iCs/>
          <w:sz w:val="18"/>
          <w:szCs w:val="18"/>
          <w:highlight w:val="none"/>
        </w:rPr>
        <w:t>Age 14, Sweep 6, 2015</w:t>
      </w:r>
      <w:r>
        <w:rPr>
          <w:rFonts w:hint="eastAsia" w:eastAsia="宋体" w:cs="Times New Roman"/>
          <w:i w:val="0"/>
          <w:iCs w:val="0"/>
          <w:sz w:val="18"/>
          <w:szCs w:val="18"/>
          <w:highlight w:val="none"/>
          <w:lang w:val="en-US" w:eastAsia="zh-CN"/>
        </w:rPr>
        <w:t xml:space="preserve"> </w:t>
      </w:r>
      <w:r>
        <w:rPr>
          <w:rFonts w:hint="default" w:ascii="Times New Roman" w:hAnsi="Times New Roman" w:cs="Times New Roman"/>
          <w:i w:val="0"/>
          <w:iCs w:val="0"/>
          <w:sz w:val="18"/>
          <w:szCs w:val="18"/>
          <w:highlight w:val="none"/>
        </w:rPr>
        <w:t>[data collection]</w:t>
      </w:r>
      <w:r>
        <w:rPr>
          <w:rFonts w:hint="default" w:ascii="Times New Roman" w:hAnsi="Times New Roman" w:cs="Times New Roman"/>
          <w:i/>
          <w:iCs/>
          <w:sz w:val="18"/>
          <w:szCs w:val="18"/>
          <w:highlight w:val="none"/>
        </w:rPr>
        <w:t>.</w:t>
      </w:r>
      <w:r>
        <w:rPr>
          <w:rFonts w:hint="default" w:ascii="Times New Roman" w:hAnsi="Times New Roman" w:cs="Times New Roman"/>
          <w:sz w:val="18"/>
          <w:szCs w:val="18"/>
          <w:highlight w:val="none"/>
        </w:rPr>
        <w:t xml:space="preserve"> 8th edn, UK Data Service, SN 8156 (2025). https://doi.org/10.5255/UKDA-SN-8156-8</w:t>
      </w:r>
    </w:p>
    <w:p w14:paraId="75D96DD2">
      <w:pPr>
        <w:spacing w:after="80" w:line="276" w:lineRule="auto"/>
        <w:ind w:left="432" w:hanging="432"/>
        <w:rPr>
          <w:rFonts w:hint="default" w:ascii="Times New Roman" w:hAnsi="Times New Roman" w:cs="Times New Roman"/>
          <w:sz w:val="18"/>
          <w:szCs w:val="18"/>
          <w:highlight w:val="none"/>
        </w:rPr>
      </w:pPr>
      <w:r>
        <w:rPr>
          <w:rFonts w:hint="default" w:ascii="Times New Roman" w:hAnsi="Times New Roman" w:eastAsia="宋体" w:cs="Times New Roman"/>
          <w:sz w:val="18"/>
          <w:szCs w:val="18"/>
          <w:highlight w:val="none"/>
          <w:lang w:val="en-US" w:eastAsia="zh-CN"/>
        </w:rPr>
        <w:t>4</w:t>
      </w:r>
      <w:r>
        <w:rPr>
          <w:rFonts w:hint="eastAsia" w:eastAsia="宋体" w:cs="Times New Roman"/>
          <w:sz w:val="18"/>
          <w:szCs w:val="18"/>
          <w:highlight w:val="none"/>
          <w:lang w:val="en-US" w:eastAsia="zh-CN"/>
        </w:rPr>
        <w:t>7</w:t>
      </w:r>
      <w:r>
        <w:rPr>
          <w:rFonts w:hint="default" w:ascii="Times New Roman" w:hAnsi="Times New Roman" w:cs="Times New Roman"/>
          <w:sz w:val="18"/>
          <w:szCs w:val="18"/>
          <w:highlight w:val="none"/>
        </w:rPr>
        <w:t xml:space="preserve">. University of London, Institute of Education, Centre for Longitudinal Studies. Millennium Cohort Study: </w:t>
      </w:r>
      <w:r>
        <w:rPr>
          <w:rFonts w:hint="default" w:ascii="Times New Roman" w:hAnsi="Times New Roman" w:cs="Times New Roman"/>
          <w:i/>
          <w:iCs/>
          <w:sz w:val="18"/>
          <w:szCs w:val="18"/>
          <w:highlight w:val="none"/>
        </w:rPr>
        <w:t>Age 17, Sweep 7, 2018</w:t>
      </w:r>
      <w:r>
        <w:rPr>
          <w:rFonts w:hint="eastAsia" w:eastAsia="宋体" w:cs="Times New Roman"/>
          <w:i/>
          <w:iCs/>
          <w:sz w:val="18"/>
          <w:szCs w:val="18"/>
          <w:highlight w:val="none"/>
          <w:lang w:val="en-US" w:eastAsia="zh-CN"/>
        </w:rPr>
        <w:t xml:space="preserve"> </w:t>
      </w:r>
      <w:r>
        <w:rPr>
          <w:rFonts w:hint="default" w:ascii="Times New Roman" w:hAnsi="Times New Roman" w:cs="Times New Roman"/>
          <w:i w:val="0"/>
          <w:iCs w:val="0"/>
          <w:sz w:val="18"/>
          <w:szCs w:val="18"/>
          <w:highlight w:val="none"/>
        </w:rPr>
        <w:t>[data collection]</w:t>
      </w:r>
      <w:r>
        <w:rPr>
          <w:rFonts w:hint="default" w:ascii="Times New Roman" w:hAnsi="Times New Roman" w:cs="Times New Roman"/>
          <w:i/>
          <w:iCs/>
          <w:sz w:val="18"/>
          <w:szCs w:val="18"/>
          <w:highlight w:val="none"/>
        </w:rPr>
        <w:t>.</w:t>
      </w:r>
      <w:r>
        <w:rPr>
          <w:rFonts w:hint="default" w:ascii="Times New Roman" w:hAnsi="Times New Roman" w:cs="Times New Roman"/>
          <w:sz w:val="18"/>
          <w:szCs w:val="18"/>
          <w:highlight w:val="none"/>
        </w:rPr>
        <w:t xml:space="preserve"> 2nd edn, UK Data Service, SN 8682 (2024). </w:t>
      </w:r>
      <w:r>
        <w:rPr>
          <w:rFonts w:hint="default" w:ascii="Times New Roman" w:hAnsi="Times New Roman" w:cs="Times New Roman"/>
          <w:sz w:val="18"/>
          <w:szCs w:val="18"/>
          <w:highlight w:val="none"/>
        </w:rPr>
        <w:fldChar w:fldCharType="begin"/>
      </w:r>
      <w:r>
        <w:rPr>
          <w:rFonts w:hint="default" w:ascii="Times New Roman" w:hAnsi="Times New Roman" w:cs="Times New Roman"/>
          <w:sz w:val="18"/>
          <w:szCs w:val="18"/>
          <w:highlight w:val="none"/>
        </w:rPr>
        <w:instrText xml:space="preserve"> HYPERLINK "https://doi.org/10.5255/UKDA-SN-8682-2" </w:instrText>
      </w:r>
      <w:r>
        <w:rPr>
          <w:rFonts w:hint="default" w:ascii="Times New Roman" w:hAnsi="Times New Roman" w:cs="Times New Roman"/>
          <w:sz w:val="18"/>
          <w:szCs w:val="18"/>
          <w:highlight w:val="none"/>
        </w:rPr>
        <w:fldChar w:fldCharType="separate"/>
      </w:r>
      <w:r>
        <w:rPr>
          <w:rFonts w:hint="default" w:ascii="Times New Roman" w:hAnsi="Times New Roman" w:cs="Times New Roman"/>
          <w:sz w:val="18"/>
          <w:szCs w:val="18"/>
          <w:highlight w:val="none"/>
        </w:rPr>
        <w:t>https://doi.org/10.5255/UKDA-SN-8682-2</w:t>
      </w:r>
      <w:r>
        <w:rPr>
          <w:rFonts w:hint="default" w:ascii="Times New Roman" w:hAnsi="Times New Roman" w:cs="Times New Roman"/>
          <w:sz w:val="18"/>
          <w:szCs w:val="18"/>
          <w:highlight w:val="none"/>
        </w:rPr>
        <w:fldChar w:fldCharType="end"/>
      </w:r>
    </w:p>
    <w:p w14:paraId="2EE5737A">
      <w:pPr>
        <w:spacing w:after="80" w:line="276" w:lineRule="auto"/>
        <w:ind w:left="432" w:hanging="432"/>
        <w:rPr>
          <w:rFonts w:hint="default" w:ascii="Times New Roman" w:hAnsi="Times New Roman" w:cs="Times New Roman"/>
          <w:sz w:val="18"/>
          <w:szCs w:val="18"/>
          <w:highlight w:val="none"/>
        </w:rPr>
      </w:pPr>
      <w:r>
        <w:rPr>
          <w:rFonts w:hint="eastAsia" w:eastAsia="宋体" w:cs="Times New Roman"/>
          <w:sz w:val="18"/>
          <w:szCs w:val="18"/>
          <w:highlight w:val="none"/>
          <w:lang w:val="en-US" w:eastAsia="zh-CN"/>
        </w:rPr>
        <w:t>48</w:t>
      </w:r>
      <w:r>
        <w:rPr>
          <w:rFonts w:hint="default" w:ascii="Times New Roman" w:hAnsi="Times New Roman" w:cs="Times New Roman"/>
          <w:sz w:val="18"/>
          <w:szCs w:val="18"/>
          <w:highlight w:val="none"/>
        </w:rPr>
        <w:t>. Turner, N., Joinson, C., Peters, T. J., Wiles, N. &amp; Lewis, G. Validity of the Short Mood and Feelings Questionnaire in late adolescence.</w:t>
      </w:r>
      <w:r>
        <w:rPr>
          <w:rFonts w:hint="default" w:ascii="Times New Roman" w:hAnsi="Times New Roman" w:cs="Times New Roman"/>
          <w:i/>
          <w:iCs/>
          <w:sz w:val="18"/>
          <w:szCs w:val="18"/>
          <w:highlight w:val="none"/>
        </w:rPr>
        <w:t xml:space="preserve"> Psychol. Assess.</w:t>
      </w:r>
      <w:r>
        <w:rPr>
          <w:rFonts w:hint="default" w:ascii="Times New Roman" w:hAnsi="Times New Roman" w:cs="Times New Roman"/>
          <w:sz w:val="18"/>
          <w:szCs w:val="18"/>
          <w:highlight w:val="none"/>
        </w:rPr>
        <w:t xml:space="preserve"> </w:t>
      </w:r>
      <w:r>
        <w:rPr>
          <w:rFonts w:hint="default" w:ascii="Times New Roman" w:hAnsi="Times New Roman" w:cs="Times New Roman"/>
          <w:b/>
          <w:bCs/>
          <w:sz w:val="18"/>
          <w:szCs w:val="18"/>
          <w:highlight w:val="none"/>
        </w:rPr>
        <w:t xml:space="preserve">26, </w:t>
      </w:r>
      <w:r>
        <w:rPr>
          <w:rFonts w:hint="default" w:ascii="Times New Roman" w:hAnsi="Times New Roman" w:cs="Times New Roman"/>
          <w:sz w:val="18"/>
          <w:szCs w:val="18"/>
          <w:highlight w:val="none"/>
        </w:rPr>
        <w:t>752–762 (2014). https://doi.org/10.1037/a0036572</w:t>
      </w:r>
    </w:p>
    <w:p w14:paraId="338BE929">
      <w:pPr>
        <w:spacing w:after="80" w:line="276" w:lineRule="auto"/>
        <w:ind w:left="432" w:hanging="432"/>
        <w:rPr>
          <w:rFonts w:hint="default" w:ascii="Times New Roman" w:hAnsi="Times New Roman" w:cs="Times New Roman"/>
          <w:sz w:val="18"/>
          <w:szCs w:val="18"/>
          <w:highlight w:val="none"/>
        </w:rPr>
      </w:pPr>
      <w:r>
        <w:rPr>
          <w:rFonts w:hint="eastAsia" w:eastAsia="宋体" w:cs="Times New Roman"/>
          <w:sz w:val="18"/>
          <w:szCs w:val="18"/>
          <w:highlight w:val="none"/>
          <w:lang w:val="en-US" w:eastAsia="zh-CN"/>
        </w:rPr>
        <w:t>49</w:t>
      </w:r>
      <w:r>
        <w:rPr>
          <w:rFonts w:hint="default" w:ascii="Times New Roman" w:hAnsi="Times New Roman" w:cs="Times New Roman"/>
          <w:sz w:val="18"/>
          <w:szCs w:val="18"/>
          <w:highlight w:val="none"/>
        </w:rPr>
        <w:t xml:space="preserve">. Kessler, R. C. et al. Short screening scales to monitor population prevalences and trends in non-specific psychological distress. </w:t>
      </w:r>
      <w:r>
        <w:rPr>
          <w:rFonts w:hint="default" w:ascii="Times New Roman" w:hAnsi="Times New Roman" w:cs="Times New Roman"/>
          <w:i/>
          <w:iCs/>
          <w:sz w:val="18"/>
          <w:szCs w:val="18"/>
          <w:highlight w:val="none"/>
        </w:rPr>
        <w:t>Psychol. Med.</w:t>
      </w:r>
      <w:r>
        <w:rPr>
          <w:rFonts w:hint="default" w:ascii="Times New Roman" w:hAnsi="Times New Roman" w:cs="Times New Roman"/>
          <w:sz w:val="18"/>
          <w:szCs w:val="18"/>
          <w:highlight w:val="none"/>
        </w:rPr>
        <w:t xml:space="preserve"> </w:t>
      </w:r>
      <w:r>
        <w:rPr>
          <w:rFonts w:hint="default" w:ascii="Times New Roman" w:hAnsi="Times New Roman" w:cs="Times New Roman"/>
          <w:b/>
          <w:bCs/>
          <w:sz w:val="18"/>
          <w:szCs w:val="18"/>
          <w:highlight w:val="none"/>
        </w:rPr>
        <w:t xml:space="preserve">32, </w:t>
      </w:r>
      <w:r>
        <w:rPr>
          <w:rFonts w:hint="default" w:ascii="Times New Roman" w:hAnsi="Times New Roman" w:cs="Times New Roman"/>
          <w:sz w:val="18"/>
          <w:szCs w:val="18"/>
          <w:highlight w:val="none"/>
        </w:rPr>
        <w:t xml:space="preserve">959–976 (2002). </w:t>
      </w:r>
      <w:r>
        <w:rPr>
          <w:rFonts w:hint="default" w:ascii="Times New Roman" w:hAnsi="Times New Roman" w:cs="Times New Roman"/>
          <w:sz w:val="18"/>
          <w:szCs w:val="18"/>
          <w:highlight w:val="none"/>
        </w:rPr>
        <w:fldChar w:fldCharType="begin"/>
      </w:r>
      <w:r>
        <w:rPr>
          <w:rFonts w:hint="default" w:ascii="Times New Roman" w:hAnsi="Times New Roman" w:cs="Times New Roman"/>
          <w:sz w:val="18"/>
          <w:szCs w:val="18"/>
          <w:highlight w:val="none"/>
        </w:rPr>
        <w:instrText xml:space="preserve"> HYPERLINK "https://doi.org/10.1017/S0033291702006074" </w:instrText>
      </w:r>
      <w:r>
        <w:rPr>
          <w:rFonts w:hint="default" w:ascii="Times New Roman" w:hAnsi="Times New Roman" w:cs="Times New Roman"/>
          <w:sz w:val="18"/>
          <w:szCs w:val="18"/>
          <w:highlight w:val="none"/>
        </w:rPr>
        <w:fldChar w:fldCharType="separate"/>
      </w:r>
      <w:r>
        <w:rPr>
          <w:rFonts w:hint="default" w:ascii="Times New Roman" w:hAnsi="Times New Roman" w:cs="Times New Roman"/>
          <w:sz w:val="18"/>
          <w:szCs w:val="18"/>
          <w:highlight w:val="none"/>
        </w:rPr>
        <w:t>https://doi.org/10.1017/S0033291702006074</w:t>
      </w:r>
      <w:r>
        <w:rPr>
          <w:rFonts w:hint="default" w:ascii="Times New Roman" w:hAnsi="Times New Roman" w:cs="Times New Roman"/>
          <w:sz w:val="18"/>
          <w:szCs w:val="18"/>
          <w:highlight w:val="none"/>
        </w:rPr>
        <w:fldChar w:fldCharType="end"/>
      </w:r>
    </w:p>
    <w:p w14:paraId="53A70B81">
      <w:pPr>
        <w:spacing w:after="80" w:line="276" w:lineRule="auto"/>
        <w:ind w:left="432" w:hanging="432"/>
        <w:rPr>
          <w:rFonts w:hint="default" w:ascii="Times New Roman" w:hAnsi="Times New Roman" w:cs="Times New Roman"/>
          <w:sz w:val="18"/>
          <w:szCs w:val="18"/>
          <w:highlight w:val="none"/>
        </w:rPr>
      </w:pPr>
      <w:r>
        <w:rPr>
          <w:rFonts w:hint="eastAsia" w:eastAsia="宋体" w:cs="Times New Roman"/>
          <w:sz w:val="18"/>
          <w:szCs w:val="18"/>
          <w:highlight w:val="none"/>
          <w:lang w:val="en-US" w:eastAsia="zh-CN"/>
        </w:rPr>
        <w:t>50</w:t>
      </w:r>
      <w:r>
        <w:rPr>
          <w:rFonts w:hint="default" w:ascii="Times New Roman" w:hAnsi="Times New Roman" w:cs="Times New Roman"/>
          <w:sz w:val="18"/>
          <w:szCs w:val="18"/>
          <w:highlight w:val="none"/>
        </w:rPr>
        <w:t xml:space="preserve">. van Borkulo, C. D. et al. Comparing network structures on three aspects: a permutation test. </w:t>
      </w:r>
      <w:r>
        <w:rPr>
          <w:rFonts w:hint="default" w:ascii="Times New Roman" w:hAnsi="Times New Roman" w:cs="Times New Roman"/>
          <w:i/>
          <w:iCs/>
          <w:sz w:val="18"/>
          <w:szCs w:val="18"/>
          <w:highlight w:val="none"/>
        </w:rPr>
        <w:t>Psychol. Methods</w:t>
      </w:r>
      <w:r>
        <w:rPr>
          <w:rFonts w:hint="default" w:ascii="Times New Roman" w:hAnsi="Times New Roman" w:cs="Times New Roman"/>
          <w:b/>
          <w:bCs/>
          <w:sz w:val="18"/>
          <w:szCs w:val="18"/>
          <w:highlight w:val="none"/>
        </w:rPr>
        <w:t xml:space="preserve"> 28,</w:t>
      </w:r>
      <w:r>
        <w:rPr>
          <w:rFonts w:hint="default" w:ascii="Times New Roman" w:hAnsi="Times New Roman" w:cs="Times New Roman"/>
          <w:sz w:val="18"/>
          <w:szCs w:val="18"/>
          <w:highlight w:val="none"/>
        </w:rPr>
        <w:t xml:space="preserve"> 1273–1285 (2023). https://doi.org/10.1037/met0000476</w:t>
      </w:r>
    </w:p>
    <w:sectPr>
      <w:headerReference r:id="rId5" w:type="default"/>
      <w:footerReference r:id="rId6" w:type="default"/>
      <w:pgSz w:w="12240" w:h="15840"/>
      <w:pgMar w:top="1247" w:right="1417" w:bottom="1247" w:left="1417" w:header="567" w:footer="567" w:gutter="0"/>
      <w:lnNumType w:countBy="1" w:start="1" w:distance="360" w:restart="continuous"/>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Cambria">
    <w:panose1 w:val="02040503050406030204"/>
    <w:charset w:val="00"/>
    <w:family w:val="auto"/>
    <w:pitch w:val="default"/>
    <w:sig w:usb0="E00006FF" w:usb1="420024FF" w:usb2="02000000" w:usb3="00000000" w:csb0="2000019F"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06A54C">
    <w:pPr>
      <w:pStyle w:val="24"/>
      <w:jc w:val="center"/>
    </w:pPr>
    <w:r>
      <w:fldChar w:fldCharType="begin"/>
    </w:r>
    <w:r>
      <w:instrText xml:space="preserve">PAGE</w:instrText>
    </w:r>
    <w:r>
      <w:fldChar w:fldCharType="separate"/>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3B0A8F7">
    <w:pPr>
      <w:pStyle w:val="25"/>
      <w:jc w:val="right"/>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abstractNum w:abstractNumId="6">
    <w:nsid w:val="0BE2B5E0"/>
    <w:multiLevelType w:val="singleLevel"/>
    <w:tmpl w:val="0BE2B5E0"/>
    <w:lvl w:ilvl="0" w:tentative="0">
      <w:start w:val="1"/>
      <w:numFmt w:val="decimal"/>
      <w:suff w:val="space"/>
      <w:lvlText w:val="%1."/>
      <w:lvlJc w:val="left"/>
    </w:lvl>
  </w:abstractNum>
  <w:num w:numId="1">
    <w:abstractNumId w:val="1"/>
  </w:num>
  <w:num w:numId="2">
    <w:abstractNumId w:val="4"/>
  </w:num>
  <w:num w:numId="3">
    <w:abstractNumId w:val="5"/>
  </w:num>
  <w:num w:numId="4">
    <w:abstractNumId w:val="2"/>
  </w:num>
  <w:num w:numId="5">
    <w:abstractNumId w:val="0"/>
  </w:num>
  <w:num w:numId="6">
    <w:abstractNumId w:val="3"/>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189118E"/>
    <w:rsid w:val="01B154AA"/>
    <w:rsid w:val="03DC726D"/>
    <w:rsid w:val="05B35C7F"/>
    <w:rsid w:val="09865CBD"/>
    <w:rsid w:val="0D8D258C"/>
    <w:rsid w:val="11B40E42"/>
    <w:rsid w:val="1C427D00"/>
    <w:rsid w:val="1C5046AB"/>
    <w:rsid w:val="1D7D068C"/>
    <w:rsid w:val="22921A0F"/>
    <w:rsid w:val="24F10479"/>
    <w:rsid w:val="270C05A6"/>
    <w:rsid w:val="28A10706"/>
    <w:rsid w:val="294C4DA8"/>
    <w:rsid w:val="304E49F0"/>
    <w:rsid w:val="32DC46E9"/>
    <w:rsid w:val="358E5B04"/>
    <w:rsid w:val="37FD7F7E"/>
    <w:rsid w:val="381E38D4"/>
    <w:rsid w:val="38342E9A"/>
    <w:rsid w:val="386075E4"/>
    <w:rsid w:val="3B542D41"/>
    <w:rsid w:val="3E4F1A02"/>
    <w:rsid w:val="3F4D7CE9"/>
    <w:rsid w:val="3FEE0458"/>
    <w:rsid w:val="413A0B2D"/>
    <w:rsid w:val="41A5233F"/>
    <w:rsid w:val="41A63049"/>
    <w:rsid w:val="42625A84"/>
    <w:rsid w:val="459F3446"/>
    <w:rsid w:val="472059C8"/>
    <w:rsid w:val="4B9517FA"/>
    <w:rsid w:val="4BF90118"/>
    <w:rsid w:val="53A82E9D"/>
    <w:rsid w:val="5759265D"/>
    <w:rsid w:val="580B05A3"/>
    <w:rsid w:val="58A24F33"/>
    <w:rsid w:val="5C02050D"/>
    <w:rsid w:val="623A61DB"/>
    <w:rsid w:val="64A439AF"/>
    <w:rsid w:val="66214F69"/>
    <w:rsid w:val="67B332B3"/>
    <w:rsid w:val="67C16124"/>
    <w:rsid w:val="6BAB6F4D"/>
    <w:rsid w:val="719336F9"/>
    <w:rsid w:val="78847E4A"/>
    <w:rsid w:val="7A0F67D9"/>
    <w:rsid w:val="7B36763F"/>
    <w:rsid w:val="7B6A7119"/>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qFormat="1"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120" w:line="360" w:lineRule="auto"/>
      <w:jc w:val="both"/>
    </w:pPr>
    <w:rPr>
      <w:rFonts w:ascii="Times New Roman" w:hAnsi="Times New Roman" w:eastAsia="Times New Roman" w:cstheme="minorBidi"/>
      <w:sz w:val="22"/>
      <w:szCs w:val="22"/>
      <w:lang w:val="en-US" w:eastAsia="en-US" w:bidi="ar-SA"/>
    </w:rPr>
  </w:style>
  <w:style w:type="paragraph" w:styleId="3">
    <w:name w:val="heading 1"/>
    <w:basedOn w:val="1"/>
    <w:next w:val="1"/>
    <w:link w:val="139"/>
    <w:qFormat/>
    <w:uiPriority w:val="9"/>
    <w:pPr>
      <w:keepNext/>
      <w:keepLines/>
      <w:pageBreakBefore w:val="0"/>
      <w:spacing w:before="200" w:after="80"/>
      <w:outlineLvl w:val="0"/>
    </w:pPr>
    <w:rPr>
      <w:rFonts w:asciiTheme="majorHAnsi" w:hAnsiTheme="majorHAnsi" w:eastAsiaTheme="majorEastAsia" w:cstheme="majorBidi"/>
      <w:b/>
      <w:bCs/>
      <w:color w:val="000000"/>
      <w:sz w:val="28"/>
      <w:szCs w:val="28"/>
    </w:rPr>
  </w:style>
  <w:style w:type="paragraph" w:styleId="4">
    <w:name w:val="heading 2"/>
    <w:basedOn w:val="1"/>
    <w:next w:val="1"/>
    <w:link w:val="140"/>
    <w:unhideWhenUsed/>
    <w:qFormat/>
    <w:uiPriority w:val="9"/>
    <w:pPr>
      <w:keepNext/>
      <w:keepLines/>
      <w:spacing w:before="200" w:after="80"/>
      <w:outlineLvl w:val="1"/>
    </w:pPr>
    <w:rPr>
      <w:rFonts w:asciiTheme="majorHAnsi" w:hAnsiTheme="majorHAnsi" w:eastAsiaTheme="majorEastAsia" w:cstheme="majorBidi"/>
      <w:b/>
      <w:bCs/>
      <w:color w:val="000000"/>
      <w:sz w:val="24"/>
      <w:szCs w:val="26"/>
    </w:rPr>
  </w:style>
  <w:style w:type="paragraph" w:styleId="5">
    <w:name w:val="heading 3"/>
    <w:basedOn w:val="1"/>
    <w:next w:val="1"/>
    <w:link w:val="141"/>
    <w:unhideWhenUsed/>
    <w:qFormat/>
    <w:uiPriority w:val="9"/>
    <w:pPr>
      <w:keepNext/>
      <w:keepLines/>
      <w:spacing w:before="200" w:after="80"/>
      <w:outlineLvl w:val="2"/>
    </w:pPr>
    <w:rPr>
      <w:rFonts w:asciiTheme="majorHAnsi" w:hAnsiTheme="majorHAnsi" w:eastAsiaTheme="majorEastAsia" w:cstheme="majorBidi"/>
      <w:b/>
      <w:bCs/>
      <w:color w:val="000000"/>
      <w:sz w:val="22"/>
    </w:rPr>
  </w:style>
  <w:style w:type="paragraph" w:styleId="6">
    <w:name w:val="heading 4"/>
    <w:basedOn w:val="1"/>
    <w:next w:val="1"/>
    <w:link w:val="151"/>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2"/>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3"/>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4"/>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5"/>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6"/>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qFormat/>
    <w:uiPriority w:val="1"/>
  </w:style>
  <w:style w:type="table" w:default="1" w:styleId="32">
    <w:name w:val="Normal Table"/>
    <w:semiHidden/>
    <w:unhideWhenUsed/>
    <w:qFormat/>
    <w:uiPriority w:val="99"/>
    <w:tblPr>
      <w:tblCellMar>
        <w:top w:w="0" w:type="dxa"/>
        <w:left w:w="108" w:type="dxa"/>
        <w:bottom w:w="0" w:type="dxa"/>
        <w:right w:w="108" w:type="dxa"/>
      </w:tblCellMar>
    </w:tblPr>
  </w:style>
  <w:style w:type="paragraph" w:styleId="2">
    <w:name w:val="macro"/>
    <w:link w:val="148"/>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7"/>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5"/>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7"/>
    <w:unhideWhenUsed/>
    <w:qFormat/>
    <w:uiPriority w:val="99"/>
    <w:pPr>
      <w:tabs>
        <w:tab w:val="center" w:pos="4680"/>
        <w:tab w:val="right" w:pos="9360"/>
      </w:tabs>
      <w:spacing w:after="0" w:line="240" w:lineRule="auto"/>
    </w:pPr>
  </w:style>
  <w:style w:type="paragraph" w:styleId="25">
    <w:name w:val="header"/>
    <w:basedOn w:val="1"/>
    <w:link w:val="136"/>
    <w:unhideWhenUsed/>
    <w:qFormat/>
    <w:uiPriority w:val="99"/>
    <w:pPr>
      <w:tabs>
        <w:tab w:val="center" w:pos="4680"/>
        <w:tab w:val="right" w:pos="9360"/>
      </w:tabs>
      <w:spacing w:after="0" w:line="240" w:lineRule="auto"/>
    </w:pPr>
  </w:style>
  <w:style w:type="paragraph" w:styleId="26">
    <w:name w:val="Subtitle"/>
    <w:basedOn w:val="1"/>
    <w:next w:val="1"/>
    <w:link w:val="143"/>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qFormat/>
    <w:uiPriority w:val="99"/>
    <w:pPr>
      <w:ind w:left="360" w:hanging="360"/>
      <w:contextualSpacing/>
    </w:pPr>
  </w:style>
  <w:style w:type="paragraph" w:styleId="28">
    <w:name w:val="Body Text 2"/>
    <w:basedOn w:val="1"/>
    <w:link w:val="146"/>
    <w:unhideWhenUsed/>
    <w:qFormat/>
    <w:uiPriority w:val="99"/>
    <w:pPr>
      <w:spacing w:after="120" w:line="480" w:lineRule="auto"/>
    </w:pPr>
  </w:style>
  <w:style w:type="paragraph" w:styleId="29">
    <w:name w:val="List Continue 2"/>
    <w:basedOn w:val="1"/>
    <w:unhideWhenUsed/>
    <w:qFormat/>
    <w:uiPriority w:val="99"/>
    <w:pPr>
      <w:spacing w:after="120"/>
      <w:ind w:left="720"/>
      <w:contextualSpacing/>
    </w:pPr>
  </w:style>
  <w:style w:type="paragraph" w:styleId="30">
    <w:name w:val="List Continue 3"/>
    <w:basedOn w:val="1"/>
    <w:unhideWhenUsed/>
    <w:qFormat/>
    <w:uiPriority w:val="99"/>
    <w:pPr>
      <w:spacing w:after="120"/>
      <w:ind w:left="1080"/>
      <w:contextualSpacing/>
    </w:pPr>
  </w:style>
  <w:style w:type="paragraph" w:styleId="31">
    <w:name w:val="Title"/>
    <w:basedOn w:val="1"/>
    <w:next w:val="1"/>
    <w:link w:val="142"/>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styleId="135">
    <w:name w:val="Hyperlink"/>
    <w:basedOn w:val="132"/>
    <w:semiHidden/>
    <w:unhideWhenUsed/>
    <w:qFormat/>
    <w:uiPriority w:val="99"/>
    <w:rPr>
      <w:color w:val="0000FF"/>
      <w:u w:val="single"/>
    </w:rPr>
  </w:style>
  <w:style w:type="character" w:customStyle="1" w:styleId="136">
    <w:name w:val="Header Char"/>
    <w:basedOn w:val="132"/>
    <w:link w:val="25"/>
    <w:qFormat/>
    <w:uiPriority w:val="99"/>
  </w:style>
  <w:style w:type="character" w:customStyle="1" w:styleId="137">
    <w:name w:val="Footer Char"/>
    <w:basedOn w:val="132"/>
    <w:link w:val="24"/>
    <w:qFormat/>
    <w:uiPriority w:val="99"/>
  </w:style>
  <w:style w:type="paragraph" w:styleId="138">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9">
    <w:name w:val="Heading 1 Char"/>
    <w:basedOn w:val="132"/>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40">
    <w:name w:val="Heading 2 Char"/>
    <w:basedOn w:val="132"/>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1">
    <w:name w:val="Heading 3 Char"/>
    <w:basedOn w:val="132"/>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2">
    <w:name w:val="Title Char"/>
    <w:basedOn w:val="132"/>
    <w:link w:val="31"/>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3">
    <w:name w:val="Subtitle Char"/>
    <w:basedOn w:val="132"/>
    <w:link w:val="2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4">
    <w:name w:val="List Paragraph"/>
    <w:basedOn w:val="1"/>
    <w:qFormat/>
    <w:uiPriority w:val="34"/>
    <w:pPr>
      <w:ind w:left="720"/>
      <w:contextualSpacing/>
    </w:pPr>
  </w:style>
  <w:style w:type="character" w:customStyle="1" w:styleId="145">
    <w:name w:val="Body Text Char"/>
    <w:basedOn w:val="132"/>
    <w:link w:val="19"/>
    <w:qFormat/>
    <w:uiPriority w:val="99"/>
  </w:style>
  <w:style w:type="character" w:customStyle="1" w:styleId="146">
    <w:name w:val="Body Text 2 Char"/>
    <w:basedOn w:val="132"/>
    <w:link w:val="28"/>
    <w:qFormat/>
    <w:uiPriority w:val="99"/>
  </w:style>
  <w:style w:type="character" w:customStyle="1" w:styleId="147">
    <w:name w:val="Body Text 3 Char"/>
    <w:basedOn w:val="132"/>
    <w:link w:val="17"/>
    <w:qFormat/>
    <w:uiPriority w:val="99"/>
    <w:rPr>
      <w:sz w:val="16"/>
      <w:szCs w:val="16"/>
    </w:rPr>
  </w:style>
  <w:style w:type="character" w:customStyle="1" w:styleId="148">
    <w:name w:val="Macro Text Char"/>
    <w:basedOn w:val="132"/>
    <w:link w:val="2"/>
    <w:qFormat/>
    <w:uiPriority w:val="99"/>
    <w:rPr>
      <w:rFonts w:ascii="Courier" w:hAnsi="Courier"/>
      <w:sz w:val="20"/>
      <w:szCs w:val="20"/>
    </w:rPr>
  </w:style>
  <w:style w:type="paragraph" w:styleId="149">
    <w:name w:val="Quote"/>
    <w:basedOn w:val="1"/>
    <w:next w:val="1"/>
    <w:link w:val="150"/>
    <w:qFormat/>
    <w:uiPriority w:val="29"/>
    <w:rPr>
      <w:i/>
      <w:iCs/>
      <w:color w:val="000000" w:themeColor="text1"/>
      <w14:textFill>
        <w14:solidFill>
          <w14:schemeClr w14:val="tx1"/>
        </w14:solidFill>
      </w14:textFill>
    </w:rPr>
  </w:style>
  <w:style w:type="character" w:customStyle="1" w:styleId="150">
    <w:name w:val="Quote Char"/>
    <w:basedOn w:val="132"/>
    <w:link w:val="149"/>
    <w:qFormat/>
    <w:uiPriority w:val="29"/>
    <w:rPr>
      <w:i/>
      <w:iCs/>
      <w:color w:val="000000" w:themeColor="text1"/>
      <w14:textFill>
        <w14:solidFill>
          <w14:schemeClr w14:val="tx1"/>
        </w14:solidFill>
      </w14:textFill>
    </w:rPr>
  </w:style>
  <w:style w:type="character" w:customStyle="1" w:styleId="151">
    <w:name w:val="Heading 4 Char"/>
    <w:basedOn w:val="132"/>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2">
    <w:name w:val="Heading 5 Char"/>
    <w:basedOn w:val="132"/>
    <w:link w:val="7"/>
    <w:semiHidden/>
    <w:qFormat/>
    <w:uiPriority w:val="9"/>
    <w:rPr>
      <w:rFonts w:asciiTheme="majorHAnsi" w:hAnsiTheme="majorHAnsi" w:eastAsiaTheme="majorEastAsia" w:cstheme="majorBidi"/>
      <w:color w:val="254061" w:themeColor="accent1" w:themeShade="80"/>
    </w:rPr>
  </w:style>
  <w:style w:type="character" w:customStyle="1" w:styleId="153">
    <w:name w:val="Heading 6 Char"/>
    <w:basedOn w:val="132"/>
    <w:link w:val="8"/>
    <w:semiHidden/>
    <w:qFormat/>
    <w:uiPriority w:val="9"/>
    <w:rPr>
      <w:rFonts w:asciiTheme="majorHAnsi" w:hAnsiTheme="majorHAnsi" w:eastAsiaTheme="majorEastAsia" w:cstheme="majorBidi"/>
      <w:i/>
      <w:iCs/>
      <w:color w:val="254061" w:themeColor="accent1" w:themeShade="80"/>
    </w:rPr>
  </w:style>
  <w:style w:type="character" w:customStyle="1" w:styleId="154">
    <w:name w:val="Heading 7 Char"/>
    <w:basedOn w:val="132"/>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5">
    <w:name w:val="Heading 8 Char"/>
    <w:basedOn w:val="132"/>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6">
    <w:name w:val="Heading 9 Char"/>
    <w:basedOn w:val="132"/>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7">
    <w:name w:val="Intense Quote"/>
    <w:basedOn w:val="1"/>
    <w:next w:val="1"/>
    <w:link w:val="158"/>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8">
    <w:name w:val="Intense Quote Char"/>
    <w:basedOn w:val="132"/>
    <w:link w:val="157"/>
    <w:qFormat/>
    <w:uiPriority w:val="30"/>
    <w:rPr>
      <w:b/>
      <w:bCs/>
      <w:i/>
      <w:iCs/>
      <w:color w:val="4F81BD" w:themeColor="accent1"/>
      <w14:textFill>
        <w14:solidFill>
          <w14:schemeClr w14:val="accent1"/>
        </w14:solidFill>
      </w14:textFill>
    </w:rPr>
  </w:style>
  <w:style w:type="character" w:customStyle="1" w:styleId="159">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60">
    <w:name w:val="Intense Emphasis"/>
    <w:basedOn w:val="132"/>
    <w:qFormat/>
    <w:uiPriority w:val="21"/>
    <w:rPr>
      <w:b/>
      <w:bCs/>
      <w:i/>
      <w:iCs/>
      <w:color w:val="4F81BD" w:themeColor="accent1"/>
      <w14:textFill>
        <w14:solidFill>
          <w14:schemeClr w14:val="accent1"/>
        </w14:solidFill>
      </w14:textFill>
    </w:rPr>
  </w:style>
  <w:style w:type="character" w:customStyle="1" w:styleId="161">
    <w:name w:val="Subtle Reference"/>
    <w:basedOn w:val="132"/>
    <w:qFormat/>
    <w:uiPriority w:val="31"/>
    <w:rPr>
      <w:smallCaps/>
      <w:color w:val="C0504D" w:themeColor="accent2"/>
      <w:u w:val="single"/>
      <w14:textFill>
        <w14:solidFill>
          <w14:schemeClr w14:val="accent2"/>
        </w14:solidFill>
      </w14:textFill>
    </w:rPr>
  </w:style>
  <w:style w:type="character" w:customStyle="1" w:styleId="162">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3">
    <w:name w:val="Book Title"/>
    <w:basedOn w:val="132"/>
    <w:qFormat/>
    <w:uiPriority w:val="33"/>
    <w:rPr>
      <w:b/>
      <w:bCs/>
      <w:smallCaps/>
      <w:spacing w:val="5"/>
    </w:rPr>
  </w:style>
  <w:style w:type="paragraph" w:customStyle="1" w:styleId="164">
    <w:name w:val="TOC Heading"/>
    <w:basedOn w:val="3"/>
    <w:next w:val="1"/>
    <w:semiHidden/>
    <w:unhideWhenUsed/>
    <w:qFormat/>
    <w:uiPriority w:val="39"/>
    <w:pPr>
      <w:outlineLvl w:val="9"/>
    </w:pPr>
  </w:style>
  <w:style w:type="paragraph" w:customStyle="1" w:styleId="165">
    <w:name w:val="Figure Legend"/>
    <w:qFormat/>
    <w:uiPriority w:val="0"/>
    <w:pPr>
      <w:keepLines/>
      <w:spacing w:before="100" w:after="160" w:line="276" w:lineRule="auto"/>
    </w:pPr>
    <w:rPr>
      <w:rFonts w:ascii="Times New Roman" w:hAnsi="Times New Roman" w:eastAsia="Times New Roman" w:cstheme="minorBidi"/>
      <w:sz w:val="18"/>
      <w:szCs w:val="22"/>
      <w:lang w:val="en-US" w:eastAsia="en-US" w:bidi="ar-SA"/>
    </w:rPr>
  </w:style>
  <w:style w:type="paragraph" w:customStyle="1" w:styleId="166">
    <w:name w:val="Reference"/>
    <w:qFormat/>
    <w:uiPriority w:val="0"/>
    <w:pPr>
      <w:spacing w:after="40" w:line="240" w:lineRule="auto"/>
      <w:ind w:left="312" w:hanging="312"/>
    </w:pPr>
    <w:rPr>
      <w:rFonts w:ascii="Times New Roman" w:hAnsi="Times New Roman" w:eastAsia="Times New Roman" w:cstheme="minorBidi"/>
      <w:sz w:val="18"/>
      <w:szCs w:val="22"/>
      <w:lang w:val="en-US" w:eastAsia="en-US" w:bidi="ar-SA"/>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customXml" Target="../customXml/item1.xml"/><Relationship Id="rId13" Type="http://schemas.openxmlformats.org/officeDocument/2006/relationships/numbering" Target="numbering.xml"/><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19</Pages>
  <Words>6973</Words>
  <Characters>44949</Characters>
  <Lines>0</Lines>
  <Paragraphs>0</Paragraphs>
  <TotalTime>124</TotalTime>
  <ScaleCrop>false</ScaleCrop>
  <LinksUpToDate>false</LinksUpToDate>
  <CharactersWithSpaces>51791</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Jing Zhang; Ling Zhang; Xizhe Zhang</dc:creator>
  <cp:keywords>adolescent mental health; digital use; social media; cross-lagged panel network</cp:keywords>
  <cp:lastModifiedBy>Ling^O^</cp:lastModifiedBy>
  <dcterms:modified xsi:type="dcterms:W3CDTF">2026-09-06T07:42:32Z</dcterms:modified>
  <dc:title>Emotional distress predicts change in adolescent problematic digital use and related symptoms</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2052-12.1.0.28505</vt:lpwstr>
  </property>
  <property fmtid="{D5CDD505-2E9C-101B-9397-08002B2CF9AE}" pid="3" name="ICV">
    <vt:lpwstr>81BC2DCA29A5448BADF612300806CD28_13</vt:lpwstr>
  </property>
  <property fmtid="{D5CDD505-2E9C-101B-9397-08002B2CF9AE}" pid="4" name="KSOTemplateDocerSaveRecord">
    <vt:lpwstr>eyJoZGlkIjoiZjc4YjlhOTM5MTU2Zjg5MGFjODRlMDhhMzNkODUxZDIiLCJ1c2VySWQiOiI4OTQyNDAyOTcifQ==</vt:lpwstr>
  </property>
</Properties>
</file>