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Semaform · Iteration log: findings and changes per round</w:t>
      </w:r>
    </w:p>
    <w:p>
      <w:pPr>
        <w:spacing w:after="200"/>
      </w:pPr>
      <w:r>
        <w:t xml:space="preserve">Sema went through 3 design iterations and 3 interview rounds. The main lesson: the model is good at understanding but not at applying rules consistently, so anything that can be written as a rule is handed to code.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3470"/>
        <w:gridCol w:w="46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Problems found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Cause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Keyframe version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model output servo angles frame by frame; responses were slow and motion was unstable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language model was doing motion control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Switched to 8 gestures built into the firmware (inspired by neoFORM, where an AI built its own gesture library); the model only picks a gesture and its parameters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Emotion engine (v2)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 a happy story about a day at the beach, the model could not pick any gesture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gesture table had no “joy”; long sentences had no analysis step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model outputs valence / arousal / intensity and one of 15 emotions; emotion_map.py computes the gesture by rule; added a “story” category to the test set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Dialogue rhythm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analysis itself was acted out; the emotion line was sometimes hidden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separation between “thinking” and “responding”; the emotion was shown only when type = emotion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slow looping gesture while thinking → I Think You → 3 s pause → Sema’s reply; the emotion is shown whenever one is detected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Interview 1 → v3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“Tiredness” as the secondary emotion in 5 of 19 sentences; mixed feelings only half read; sarcasm missed; “a little sad” scored intensity 0.6; replies contradicted the speaker’s feeling; “Bigger!” enlarged a gesture that was never played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 much tiredness in the examples; scoring came before understanding; sarcasm was never taught; memory stored the model’s gestures, not the ones actually played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Limited secondary emotions; field order changed to intent before affect; added rules for mixed feelings, sarcasm, softeners and replies; examples 12 → 17; memory stores the gestures actually played; named the persona Sema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Interview 2 → v4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“Bigger!” still missed the previous gesture; “a little sad” still scored 0.6; “ugh” triggered 3 gestures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model cannot reliably “copy then modify” or score by rule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 code rules: softeners cap intensity at 0.35; follow-ups such as bigger / faster / again edit the last gestures actually played; added “ugh” to the anger definition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Interview 3 (v4)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“What do you feel right now?” was classified differently across runs; an extra “!” sometimes appeared in the cues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Randomness in the model’s output (temperature 0.4)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Minor; left as is. Option: lower temperature to 0.2</w:t>
            </w:r>
          </w:p>
        </w:tc>
      </w:tr>
    </w:tbl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2026-09-27T23:31:10.902Z</dcterms:created>
  <dcterms:modified xsi:type="dcterms:W3CDTF">2026-09-27T23:31:10.913Z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