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3542"/>
      </w:tblGrid>
      <w:tr w14:paraId="2C2EEF72">
        <w:tc>
          <w:tcPr>
            <w:tcW w:w="2407" w:type="dxa"/>
            <w:vAlign w:val="center"/>
          </w:tcPr>
          <w:p w14:paraId="067934F5">
            <w:pPr>
              <w:spacing w:before="60" w:after="60"/>
              <w:ind w:firstLine="0" w:firstLineChars="0"/>
            </w:pPr>
          </w:p>
        </w:tc>
        <w:tc>
          <w:tcPr>
            <w:tcW w:w="3542" w:type="dxa"/>
            <w:vAlign w:val="center"/>
          </w:tcPr>
          <w:p w14:paraId="72F13FF1">
            <w:pPr>
              <w:spacing w:before="60" w:after="60"/>
              <w:ind w:firstLine="0" w:firstLineChars="0"/>
            </w:pPr>
          </w:p>
        </w:tc>
      </w:tr>
    </w:tbl>
    <w:p w14:paraId="1FA4BBA9">
      <w:pPr>
        <w:pStyle w:val="9"/>
        <w:spacing w:after="0" w:line="200" w:lineRule="exact"/>
        <w:ind w:firstLine="480" w:firstLineChars="200"/>
        <w:rPr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1550035</wp:posOffset>
            </wp:positionH>
            <wp:positionV relativeFrom="paragraph">
              <wp:posOffset>-442595</wp:posOffset>
            </wp:positionV>
            <wp:extent cx="2487930" cy="558800"/>
            <wp:effectExtent l="0" t="0" r="825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622" cy="5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014AB">
      <w:pPr>
        <w:pStyle w:val="9"/>
        <w:spacing w:after="0" w:line="240" w:lineRule="auto"/>
        <w:ind w:firstLine="561" w:firstLineChars="200"/>
        <w:jc w:val="center"/>
        <w:rPr>
          <w:rFonts w:eastAsia="黑体"/>
          <w:bCs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ascii="黑体" w:hAnsi="黑体" w:eastAsia="黑体" w:cs="黑体"/>
          <w:b/>
          <w:bCs w:val="0"/>
          <w:sz w:val="2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2025年（夏）课程设计B</w:t>
      </w:r>
    </w:p>
    <w:p w14:paraId="1CE5A888">
      <w:pPr>
        <w:pStyle w:val="9"/>
        <w:spacing w:after="0" w:line="240" w:lineRule="auto"/>
        <w:ind w:firstLine="880" w:firstLineChars="20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信号处理基础设计</w:t>
      </w:r>
    </w:p>
    <w:p w14:paraId="317F3D07">
      <w:pPr>
        <w:pStyle w:val="9"/>
        <w:spacing w:after="0" w:line="240" w:lineRule="auto"/>
        <w:ind w:firstLine="880" w:firstLineChars="200"/>
        <w:jc w:val="center"/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eastAsia"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开题</w:t>
      </w:r>
      <w:r>
        <w:rPr>
          <w:rFonts w:eastAsia="黑体"/>
          <w:bCs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报告</w:t>
      </w:r>
    </w:p>
    <w:p w14:paraId="7955044A">
      <w:pPr>
        <w:tabs>
          <w:tab w:val="left" w:pos="1276"/>
          <w:tab w:val="left" w:pos="2552"/>
        </w:tabs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题    目：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信号频率估计算法仿真与分析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4D92876A">
      <w:pPr>
        <w:tabs>
          <w:tab w:val="left" w:pos="1276"/>
          <w:tab w:val="left" w:pos="2552"/>
        </w:tabs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组    别：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</w:t>
      </w:r>
    </w:p>
    <w:p w14:paraId="0961C301">
      <w:pPr>
        <w:tabs>
          <w:tab w:val="left" w:pos="1276"/>
          <w:tab w:val="left" w:pos="2552"/>
        </w:tabs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张恩境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</w:t>
      </w:r>
    </w:p>
    <w:p w14:paraId="0682BA82">
      <w:pPr>
        <w:tabs>
          <w:tab w:val="left" w:pos="60"/>
        </w:tabs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220210903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   </w:t>
      </w:r>
    </w:p>
    <w:p w14:paraId="6039C918">
      <w:pPr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通信9班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</w:p>
    <w:p w14:paraId="23E47C94">
      <w:pPr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指导教师：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李伊川     </w:t>
      </w:r>
    </w:p>
    <w:p w14:paraId="0F8C11F6">
      <w:pPr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开课</w:t>
      </w:r>
      <w:r>
        <w:rPr>
          <w:rFonts w:ascii="宋体" w:hAnsi="宋体"/>
          <w:b/>
          <w:sz w:val="28"/>
          <w:szCs w:val="28"/>
        </w:rPr>
        <w:t>学院</w:t>
      </w:r>
      <w:r>
        <w:rPr>
          <w:rFonts w:hint="eastAsia" w:ascii="宋体" w:hAnsi="宋体"/>
          <w:b/>
          <w:sz w:val="28"/>
          <w:szCs w:val="28"/>
        </w:rPr>
        <w:t>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</w:t>
      </w:r>
    </w:p>
    <w:p w14:paraId="0B99B5D4">
      <w:pPr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/>
          <w:b/>
          <w:sz w:val="28"/>
          <w:szCs w:val="28"/>
        </w:rPr>
        <w:t>地</w:t>
      </w:r>
      <w:r>
        <w:rPr>
          <w:rFonts w:hint="eastAsia" w:ascii="宋体" w:hAnsi="宋体"/>
          <w:b/>
          <w:sz w:val="28"/>
          <w:szCs w:val="28"/>
        </w:rPr>
        <w:t xml:space="preserve">    </w:t>
      </w:r>
      <w:r>
        <w:rPr>
          <w:rFonts w:ascii="宋体" w:hAnsi="宋体"/>
          <w:b/>
          <w:sz w:val="28"/>
          <w:szCs w:val="28"/>
        </w:rPr>
        <w:t>点</w:t>
      </w:r>
      <w:r>
        <w:rPr>
          <w:rFonts w:hint="eastAsia" w:ascii="宋体" w:hAnsi="宋体"/>
          <w:b/>
          <w:sz w:val="28"/>
          <w:szCs w:val="28"/>
        </w:rPr>
        <w:t>：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</w:t>
      </w:r>
      <w:r>
        <w:rPr>
          <w:rFonts w:ascii="宋体" w:hAnsi="宋体"/>
          <w:b/>
          <w:sz w:val="28"/>
          <w:szCs w:val="28"/>
          <w:u w:val="single"/>
        </w:rPr>
        <w:t xml:space="preserve">   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 xml:space="preserve">    </w:t>
      </w:r>
    </w:p>
    <w:p w14:paraId="22E146FB">
      <w:pPr>
        <w:spacing w:before="360" w:line="480" w:lineRule="auto"/>
        <w:ind w:firstLine="561" w:firstLineChars="200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时    间：</w:t>
      </w:r>
      <w:r>
        <w:rPr>
          <w:rFonts w:ascii="宋体" w:hAnsi="宋体"/>
          <w:b/>
          <w:sz w:val="28"/>
          <w:szCs w:val="28"/>
          <w:u w:val="single"/>
        </w:rPr>
        <w:t xml:space="preserve">       2</w:t>
      </w:r>
      <w:r>
        <w:rPr>
          <w:rFonts w:hint="eastAsia" w:ascii="宋体" w:hAnsi="宋体"/>
          <w:b/>
          <w:sz w:val="28"/>
          <w:szCs w:val="28"/>
          <w:u w:val="single"/>
        </w:rPr>
        <w:t>02</w:t>
      </w:r>
      <w:r>
        <w:rPr>
          <w:rFonts w:ascii="宋体" w:hAnsi="宋体"/>
          <w:b/>
          <w:sz w:val="28"/>
          <w:szCs w:val="28"/>
          <w:u w:val="single"/>
        </w:rPr>
        <w:t>5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年7月         </w:t>
      </w:r>
    </w:p>
    <w:p w14:paraId="64A12B1F">
      <w:pPr>
        <w:widowControl/>
        <w:ind w:firstLine="0" w:firstLineChars="0"/>
        <w:jc w:val="left"/>
        <w:rPr>
          <w:rFonts w:cs="Times New Roman"/>
          <w:sz w:val="24"/>
          <w:szCs w:val="24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16002F90">
      <w:pPr>
        <w:spacing w:line="360" w:lineRule="auto"/>
        <w:ind w:firstLine="720" w:firstLineChars="200"/>
        <w:jc w:val="center"/>
        <w:rPr>
          <w:rFonts w:eastAsia="黑体" w:cs="Times New Roman"/>
          <w:sz w:val="36"/>
          <w:szCs w:val="32"/>
        </w:rPr>
      </w:pPr>
      <w:r>
        <w:rPr>
          <w:rFonts w:hint="eastAsia" w:eastAsia="黑体" w:cs="Times New Roman"/>
          <w:sz w:val="36"/>
          <w:szCs w:val="32"/>
        </w:rPr>
        <w:t>开题</w:t>
      </w:r>
      <w:r>
        <w:rPr>
          <w:rFonts w:eastAsia="黑体" w:cs="Times New Roman"/>
          <w:sz w:val="36"/>
          <w:szCs w:val="32"/>
        </w:rPr>
        <w:t>评分及</w:t>
      </w:r>
      <w:r>
        <w:rPr>
          <w:rFonts w:hint="eastAsia" w:eastAsia="黑体" w:cs="Times New Roman"/>
          <w:sz w:val="36"/>
          <w:szCs w:val="32"/>
        </w:rPr>
        <w:t>标准</w:t>
      </w:r>
    </w:p>
    <w:tbl>
      <w:tblPr>
        <w:tblStyle w:val="11"/>
        <w:tblW w:w="861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5187"/>
        <w:gridCol w:w="648"/>
        <w:gridCol w:w="1566"/>
      </w:tblGrid>
      <w:tr w14:paraId="4BAFFCD9">
        <w:tc>
          <w:tcPr>
            <w:tcW w:w="1209" w:type="dxa"/>
            <w:vAlign w:val="center"/>
          </w:tcPr>
          <w:p w14:paraId="07A1C1D1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考察</w:t>
            </w:r>
            <w:r>
              <w:rPr>
                <w:rFonts w:ascii="宋体" w:hAnsi="宋体" w:cs="Times New Roman"/>
                <w:szCs w:val="21"/>
              </w:rPr>
              <w:t>项目</w:t>
            </w:r>
          </w:p>
        </w:tc>
        <w:tc>
          <w:tcPr>
            <w:tcW w:w="5187" w:type="dxa"/>
            <w:vAlign w:val="center"/>
          </w:tcPr>
          <w:p w14:paraId="6395215A">
            <w:pPr>
              <w:spacing w:line="300" w:lineRule="auto"/>
              <w:ind w:firstLine="0" w:firstLineChars="0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考察</w:t>
            </w:r>
            <w:r>
              <w:rPr>
                <w:rFonts w:ascii="宋体" w:hAnsi="宋体" w:cs="Times New Roman"/>
                <w:szCs w:val="21"/>
              </w:rPr>
              <w:t>内容</w:t>
            </w:r>
          </w:p>
        </w:tc>
        <w:tc>
          <w:tcPr>
            <w:tcW w:w="648" w:type="dxa"/>
            <w:vAlign w:val="center"/>
          </w:tcPr>
          <w:p w14:paraId="6B2D5CE6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教师</w:t>
            </w:r>
            <w:r>
              <w:rPr>
                <w:rFonts w:ascii="宋体" w:hAnsi="宋体" w:cs="Times New Roman"/>
                <w:szCs w:val="21"/>
              </w:rPr>
              <w:t>评价</w:t>
            </w:r>
          </w:p>
        </w:tc>
        <w:tc>
          <w:tcPr>
            <w:tcW w:w="1566" w:type="dxa"/>
            <w:vAlign w:val="center"/>
          </w:tcPr>
          <w:p w14:paraId="4651D047">
            <w:pPr>
              <w:spacing w:line="300" w:lineRule="auto"/>
              <w:ind w:firstLine="0" w:firstLineChars="0"/>
              <w:jc w:val="center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备注（评语）</w:t>
            </w:r>
          </w:p>
        </w:tc>
      </w:tr>
      <w:tr w14:paraId="45FD00F0">
        <w:trPr>
          <w:trHeight w:val="195" w:hRule="atLeast"/>
        </w:trPr>
        <w:tc>
          <w:tcPr>
            <w:tcW w:w="1209" w:type="dxa"/>
            <w:vMerge w:val="restart"/>
            <w:vAlign w:val="center"/>
          </w:tcPr>
          <w:p w14:paraId="3983EE7E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A</w:t>
            </w:r>
            <w:r>
              <w:rPr>
                <w:rFonts w:hint="eastAsia" w:ascii="宋体" w:hAnsi="宋体" w:cs="Times New Roman"/>
                <w:szCs w:val="21"/>
              </w:rPr>
              <w:t>口头答辩100分</w:t>
            </w:r>
          </w:p>
        </w:tc>
        <w:tc>
          <w:tcPr>
            <w:tcW w:w="5187" w:type="dxa"/>
            <w:vAlign w:val="center"/>
          </w:tcPr>
          <w:p w14:paraId="15613390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PPT</w:t>
            </w:r>
            <w:r>
              <w:rPr>
                <w:rFonts w:ascii="宋体" w:hAnsi="宋体" w:cs="Times New Roman"/>
                <w:szCs w:val="21"/>
              </w:rPr>
              <w:t>精美清晰，</w:t>
            </w:r>
            <w:r>
              <w:rPr>
                <w:rFonts w:hint="eastAsia" w:ascii="宋体" w:hAnsi="宋体" w:cs="Times New Roman"/>
                <w:szCs w:val="21"/>
              </w:rPr>
              <w:t>内容</w:t>
            </w:r>
            <w:r>
              <w:rPr>
                <w:rFonts w:ascii="宋体" w:hAnsi="宋体" w:cs="Times New Roman"/>
                <w:szCs w:val="21"/>
              </w:rPr>
              <w:t>完整，</w:t>
            </w:r>
            <w:r>
              <w:rPr>
                <w:rFonts w:hint="eastAsia" w:ascii="宋体" w:hAnsi="宋体" w:cs="Times New Roman"/>
                <w:szCs w:val="21"/>
              </w:rPr>
              <w:t>理解充分，表达清晰，问题回答全面准确（</w:t>
            </w:r>
            <w:r>
              <w:rPr>
                <w:rFonts w:ascii="宋体" w:hAnsi="宋体" w:cs="Times New Roman"/>
                <w:szCs w:val="21"/>
              </w:rPr>
              <w:t>90-100</w:t>
            </w:r>
            <w:r>
              <w:rPr>
                <w:rFonts w:hint="eastAsia" w:ascii="宋体" w:hAnsi="宋体" w:cs="Times New Roman"/>
                <w:szCs w:val="21"/>
              </w:rPr>
              <w:t>分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restart"/>
            <w:vAlign w:val="center"/>
          </w:tcPr>
          <w:p w14:paraId="4D03E258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290F2B4D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准备PPT，按组提交一份PPT，分工合理</w:t>
            </w:r>
          </w:p>
        </w:tc>
      </w:tr>
      <w:tr w14:paraId="1E0EA6C7">
        <w:tc>
          <w:tcPr>
            <w:tcW w:w="1209" w:type="dxa"/>
            <w:vMerge w:val="continue"/>
            <w:vAlign w:val="center"/>
          </w:tcPr>
          <w:p w14:paraId="1619DA78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78DEFAEB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PPT</w:t>
            </w:r>
            <w:r>
              <w:rPr>
                <w:rFonts w:ascii="宋体" w:hAnsi="宋体" w:cs="Times New Roman"/>
                <w:szCs w:val="21"/>
              </w:rPr>
              <w:t>清晰</w:t>
            </w:r>
            <w:r>
              <w:rPr>
                <w:rFonts w:hint="eastAsia" w:ascii="宋体" w:hAnsi="宋体" w:cs="Times New Roman"/>
                <w:szCs w:val="21"/>
              </w:rPr>
              <w:t>，</w:t>
            </w:r>
            <w:r>
              <w:rPr>
                <w:rFonts w:ascii="宋体" w:hAnsi="宋体" w:cs="Times New Roman"/>
                <w:szCs w:val="21"/>
              </w:rPr>
              <w:t>内容</w:t>
            </w:r>
            <w:r>
              <w:rPr>
                <w:rFonts w:hint="eastAsia" w:ascii="宋体" w:hAnsi="宋体" w:cs="Times New Roman"/>
                <w:szCs w:val="21"/>
              </w:rPr>
              <w:t>完整</w:t>
            </w:r>
            <w:r>
              <w:rPr>
                <w:rFonts w:ascii="宋体" w:hAnsi="宋体" w:cs="Times New Roman"/>
                <w:szCs w:val="21"/>
              </w:rPr>
              <w:t>，</w:t>
            </w:r>
            <w:r>
              <w:rPr>
                <w:rFonts w:hint="eastAsia" w:ascii="宋体" w:hAnsi="宋体" w:cs="Times New Roman"/>
                <w:szCs w:val="21"/>
              </w:rPr>
              <w:t>理解较充分，表达清晰，问题回答正确（</w:t>
            </w:r>
            <w:r>
              <w:rPr>
                <w:rFonts w:ascii="宋体" w:hAnsi="宋体" w:cs="Times New Roman"/>
                <w:szCs w:val="21"/>
              </w:rPr>
              <w:t>80-89</w:t>
            </w:r>
            <w:r>
              <w:rPr>
                <w:rFonts w:hint="eastAsia" w:ascii="宋体" w:hAnsi="宋体" w:cs="Times New Roman"/>
                <w:szCs w:val="21"/>
              </w:rPr>
              <w:t>分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continue"/>
            <w:vAlign w:val="center"/>
          </w:tcPr>
          <w:p w14:paraId="1D4CF499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continue"/>
            <w:vAlign w:val="center"/>
          </w:tcPr>
          <w:p w14:paraId="2C50425D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</w:tr>
      <w:tr w14:paraId="3DA5F127">
        <w:tc>
          <w:tcPr>
            <w:tcW w:w="1209" w:type="dxa"/>
            <w:vMerge w:val="continue"/>
            <w:vAlign w:val="center"/>
          </w:tcPr>
          <w:p w14:paraId="3320F497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12540599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PPT较</w:t>
            </w:r>
            <w:r>
              <w:rPr>
                <w:rFonts w:ascii="宋体" w:hAnsi="宋体" w:cs="Times New Roman"/>
                <w:szCs w:val="21"/>
              </w:rPr>
              <w:t>清晰，</w:t>
            </w:r>
            <w:r>
              <w:rPr>
                <w:rFonts w:hint="eastAsia" w:ascii="宋体" w:hAnsi="宋体" w:cs="Times New Roman"/>
                <w:szCs w:val="21"/>
              </w:rPr>
              <w:t>内容</w:t>
            </w:r>
            <w:r>
              <w:rPr>
                <w:rFonts w:ascii="宋体" w:hAnsi="宋体" w:cs="Times New Roman"/>
                <w:szCs w:val="21"/>
              </w:rPr>
              <w:t>完整，</w:t>
            </w:r>
            <w:r>
              <w:rPr>
                <w:rFonts w:hint="eastAsia" w:ascii="宋体" w:hAnsi="宋体" w:cs="Times New Roman"/>
                <w:szCs w:val="21"/>
              </w:rPr>
              <w:t>理解较充分，表达基本清晰，问题回答基本正确（</w:t>
            </w:r>
            <w:r>
              <w:rPr>
                <w:rFonts w:ascii="宋体" w:hAnsi="宋体" w:cs="Times New Roman"/>
                <w:szCs w:val="21"/>
              </w:rPr>
              <w:t>60-79</w:t>
            </w:r>
            <w:r>
              <w:rPr>
                <w:rFonts w:hint="eastAsia" w:ascii="宋体" w:hAnsi="宋体" w:cs="Times New Roman"/>
                <w:szCs w:val="21"/>
              </w:rPr>
              <w:t>分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continue"/>
            <w:vAlign w:val="center"/>
          </w:tcPr>
          <w:p w14:paraId="3C676FA9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continue"/>
            <w:vAlign w:val="center"/>
          </w:tcPr>
          <w:p w14:paraId="67337F42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</w:tr>
      <w:tr w14:paraId="47298C19">
        <w:tc>
          <w:tcPr>
            <w:tcW w:w="1209" w:type="dxa"/>
            <w:vMerge w:val="continue"/>
            <w:vAlign w:val="center"/>
          </w:tcPr>
          <w:p w14:paraId="22212768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6CF18A22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PPT制作</w:t>
            </w:r>
            <w:r>
              <w:rPr>
                <w:rFonts w:ascii="宋体" w:hAnsi="宋体" w:cs="Times New Roman"/>
                <w:szCs w:val="21"/>
              </w:rPr>
              <w:t>粗糙，</w:t>
            </w:r>
            <w:r>
              <w:rPr>
                <w:rFonts w:hint="eastAsia" w:ascii="宋体" w:hAnsi="宋体" w:cs="Times New Roman"/>
                <w:szCs w:val="21"/>
              </w:rPr>
              <w:t>内容</w:t>
            </w:r>
            <w:r>
              <w:rPr>
                <w:rFonts w:ascii="宋体" w:hAnsi="宋体" w:cs="Times New Roman"/>
                <w:szCs w:val="21"/>
              </w:rPr>
              <w:t>较完整，</w:t>
            </w:r>
            <w:r>
              <w:rPr>
                <w:rFonts w:hint="eastAsia" w:ascii="宋体" w:hAnsi="宋体" w:cs="Times New Roman"/>
                <w:szCs w:val="21"/>
              </w:rPr>
              <w:t>表达模糊，问题回答不正确（</w:t>
            </w:r>
            <w:r>
              <w:rPr>
                <w:rFonts w:ascii="宋体" w:hAnsi="宋体" w:cs="Times New Roman"/>
                <w:szCs w:val="21"/>
              </w:rPr>
              <w:t>60</w:t>
            </w:r>
            <w:r>
              <w:rPr>
                <w:rFonts w:hint="eastAsia" w:ascii="宋体" w:hAnsi="宋体" w:cs="Times New Roman"/>
                <w:szCs w:val="21"/>
              </w:rPr>
              <w:t>分以下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continue"/>
            <w:vAlign w:val="center"/>
          </w:tcPr>
          <w:p w14:paraId="094D33E4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continue"/>
            <w:vAlign w:val="center"/>
          </w:tcPr>
          <w:p w14:paraId="71CC56C4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</w:tr>
      <w:tr w14:paraId="5EE4AEE6">
        <w:tc>
          <w:tcPr>
            <w:tcW w:w="1209" w:type="dxa"/>
            <w:vMerge w:val="restart"/>
            <w:vAlign w:val="center"/>
          </w:tcPr>
          <w:p w14:paraId="1FF06E54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B</w:t>
            </w:r>
            <w:r>
              <w:rPr>
                <w:rFonts w:hint="eastAsia" w:ascii="宋体" w:hAnsi="宋体" w:cs="Times New Roman"/>
                <w:szCs w:val="21"/>
              </w:rPr>
              <w:t>开题报告内容100分</w:t>
            </w:r>
          </w:p>
        </w:tc>
        <w:tc>
          <w:tcPr>
            <w:tcW w:w="5187" w:type="dxa"/>
            <w:vAlign w:val="center"/>
          </w:tcPr>
          <w:p w14:paraId="65C55EC9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格式规范；内容充实；研究</w:t>
            </w:r>
            <w:r>
              <w:rPr>
                <w:rFonts w:ascii="宋体" w:hAnsi="宋体" w:cs="Times New Roman"/>
                <w:szCs w:val="21"/>
              </w:rPr>
              <w:t>现状</w:t>
            </w:r>
            <w:r>
              <w:rPr>
                <w:rFonts w:hint="eastAsia" w:ascii="宋体" w:hAnsi="宋体" w:cs="Times New Roman"/>
                <w:szCs w:val="21"/>
              </w:rPr>
              <w:t>综述全面、分析深刻，方案完整可行（</w:t>
            </w:r>
            <w:r>
              <w:rPr>
                <w:rFonts w:ascii="宋体" w:hAnsi="宋体" w:cs="Times New Roman"/>
                <w:szCs w:val="21"/>
              </w:rPr>
              <w:t>90-100</w:t>
            </w:r>
            <w:r>
              <w:rPr>
                <w:rFonts w:hint="eastAsia" w:ascii="宋体" w:hAnsi="宋体" w:cs="Times New Roman"/>
                <w:szCs w:val="21"/>
              </w:rPr>
              <w:t>分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restart"/>
            <w:vAlign w:val="center"/>
          </w:tcPr>
          <w:p w14:paraId="5FD22FCA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restart"/>
            <w:vAlign w:val="center"/>
          </w:tcPr>
          <w:p w14:paraId="1D80525E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按模板撰写，每组提交一份。</w:t>
            </w:r>
          </w:p>
        </w:tc>
      </w:tr>
      <w:tr w14:paraId="7B894212">
        <w:tc>
          <w:tcPr>
            <w:tcW w:w="1209" w:type="dxa"/>
            <w:vMerge w:val="continue"/>
            <w:vAlign w:val="center"/>
          </w:tcPr>
          <w:p w14:paraId="061683BA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28C825B4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格式规范；内容完整；研究</w:t>
            </w:r>
            <w:r>
              <w:rPr>
                <w:rFonts w:ascii="宋体" w:hAnsi="宋体" w:cs="Times New Roman"/>
                <w:szCs w:val="21"/>
              </w:rPr>
              <w:t>现状</w:t>
            </w:r>
            <w:r>
              <w:rPr>
                <w:rFonts w:hint="eastAsia" w:ascii="宋体" w:hAnsi="宋体" w:cs="Times New Roman"/>
                <w:szCs w:val="21"/>
              </w:rPr>
              <w:t>综述较</w:t>
            </w:r>
            <w:r>
              <w:rPr>
                <w:rFonts w:ascii="宋体" w:hAnsi="宋体" w:cs="Times New Roman"/>
                <w:szCs w:val="21"/>
              </w:rPr>
              <w:t>全面</w:t>
            </w:r>
            <w:r>
              <w:rPr>
                <w:rFonts w:hint="eastAsia" w:ascii="宋体" w:hAnsi="宋体" w:cs="Times New Roman"/>
                <w:szCs w:val="21"/>
              </w:rPr>
              <w:t>、分析正确，，方案可行（</w:t>
            </w:r>
            <w:r>
              <w:rPr>
                <w:rFonts w:ascii="宋体" w:hAnsi="宋体" w:cs="Times New Roman"/>
                <w:szCs w:val="21"/>
              </w:rPr>
              <w:t>80-89</w:t>
            </w:r>
            <w:r>
              <w:rPr>
                <w:rFonts w:hint="eastAsia" w:ascii="宋体" w:hAnsi="宋体" w:cs="Times New Roman"/>
                <w:szCs w:val="21"/>
              </w:rPr>
              <w:t>分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continue"/>
            <w:vAlign w:val="center"/>
          </w:tcPr>
          <w:p w14:paraId="215B2789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continue"/>
            <w:vAlign w:val="center"/>
          </w:tcPr>
          <w:p w14:paraId="41086EA3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</w:tr>
      <w:tr w14:paraId="07D395E7">
        <w:tc>
          <w:tcPr>
            <w:tcW w:w="1209" w:type="dxa"/>
            <w:vMerge w:val="continue"/>
            <w:vAlign w:val="center"/>
          </w:tcPr>
          <w:p w14:paraId="5BB8AB17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5688899D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格式较规范；内容较完整；研究</w:t>
            </w:r>
            <w:r>
              <w:rPr>
                <w:rFonts w:ascii="宋体" w:hAnsi="宋体" w:cs="Times New Roman"/>
                <w:szCs w:val="21"/>
              </w:rPr>
              <w:t>现状</w:t>
            </w:r>
            <w:r>
              <w:rPr>
                <w:rFonts w:hint="eastAsia" w:ascii="宋体" w:hAnsi="宋体" w:cs="Times New Roman"/>
                <w:szCs w:val="21"/>
              </w:rPr>
              <w:t>综述较</w:t>
            </w:r>
            <w:r>
              <w:rPr>
                <w:rFonts w:ascii="宋体" w:hAnsi="宋体" w:cs="Times New Roman"/>
                <w:szCs w:val="21"/>
              </w:rPr>
              <w:t>完整</w:t>
            </w:r>
            <w:r>
              <w:rPr>
                <w:rFonts w:hint="eastAsia" w:ascii="宋体" w:hAnsi="宋体" w:cs="Times New Roman"/>
                <w:szCs w:val="21"/>
              </w:rPr>
              <w:t>、分析基本正确，</w:t>
            </w:r>
            <w:r>
              <w:rPr>
                <w:rFonts w:ascii="宋体" w:hAnsi="宋体" w:cs="Times New Roman"/>
                <w:szCs w:val="21"/>
              </w:rPr>
              <w:t>方案</w:t>
            </w:r>
            <w:r>
              <w:rPr>
                <w:rFonts w:hint="eastAsia" w:ascii="宋体" w:hAnsi="宋体" w:cs="Times New Roman"/>
                <w:szCs w:val="21"/>
              </w:rPr>
              <w:t>基本</w:t>
            </w:r>
            <w:r>
              <w:rPr>
                <w:rFonts w:ascii="宋体" w:hAnsi="宋体" w:cs="Times New Roman"/>
                <w:szCs w:val="21"/>
              </w:rPr>
              <w:t>可行</w:t>
            </w:r>
            <w:r>
              <w:rPr>
                <w:rFonts w:hint="eastAsia" w:ascii="宋体" w:hAnsi="宋体" w:cs="Times New Roman"/>
                <w:szCs w:val="21"/>
              </w:rPr>
              <w:t>（</w:t>
            </w:r>
            <w:r>
              <w:rPr>
                <w:rFonts w:ascii="宋体" w:hAnsi="宋体" w:cs="Times New Roman"/>
                <w:szCs w:val="21"/>
              </w:rPr>
              <w:t>60-79</w:t>
            </w:r>
            <w:r>
              <w:rPr>
                <w:rFonts w:hint="eastAsia" w:ascii="宋体" w:hAnsi="宋体" w:cs="Times New Roman"/>
                <w:szCs w:val="21"/>
              </w:rPr>
              <w:t>分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continue"/>
            <w:vAlign w:val="center"/>
          </w:tcPr>
          <w:p w14:paraId="4F143A54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continue"/>
            <w:vAlign w:val="center"/>
          </w:tcPr>
          <w:p w14:paraId="560E90BD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</w:tr>
      <w:tr w14:paraId="69FED0C9">
        <w:tc>
          <w:tcPr>
            <w:tcW w:w="1209" w:type="dxa"/>
            <w:vMerge w:val="continue"/>
            <w:vAlign w:val="center"/>
          </w:tcPr>
          <w:p w14:paraId="5B2A8054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5187" w:type="dxa"/>
            <w:vAlign w:val="center"/>
          </w:tcPr>
          <w:p w14:paraId="088A0650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格式不规范；内容不完整；</w:t>
            </w:r>
            <w:r>
              <w:rPr>
                <w:rFonts w:ascii="宋体" w:hAnsi="宋体" w:cs="Times New Roman"/>
                <w:szCs w:val="21"/>
              </w:rPr>
              <w:t>研究现状综述不够完整、方案可行性</w:t>
            </w:r>
            <w:r>
              <w:rPr>
                <w:rFonts w:hint="eastAsia" w:ascii="宋体" w:hAnsi="宋体" w:cs="Times New Roman"/>
                <w:szCs w:val="21"/>
              </w:rPr>
              <w:t>较差（</w:t>
            </w:r>
            <w:r>
              <w:rPr>
                <w:rFonts w:ascii="宋体" w:hAnsi="宋体" w:cs="Times New Roman"/>
                <w:szCs w:val="21"/>
              </w:rPr>
              <w:t>60</w:t>
            </w:r>
            <w:r>
              <w:rPr>
                <w:rFonts w:hint="eastAsia" w:ascii="宋体" w:hAnsi="宋体" w:cs="Times New Roman"/>
                <w:szCs w:val="21"/>
              </w:rPr>
              <w:t>分以下</w:t>
            </w:r>
            <w:r>
              <w:rPr>
                <w:rFonts w:ascii="宋体" w:hAnsi="宋体" w:cs="Times New Roman"/>
                <w:szCs w:val="21"/>
              </w:rPr>
              <w:t>）</w:t>
            </w:r>
          </w:p>
        </w:tc>
        <w:tc>
          <w:tcPr>
            <w:tcW w:w="648" w:type="dxa"/>
            <w:vMerge w:val="continue"/>
            <w:vAlign w:val="center"/>
          </w:tcPr>
          <w:p w14:paraId="3220DED7">
            <w:pPr>
              <w:spacing w:line="300" w:lineRule="auto"/>
              <w:ind w:firstLine="420"/>
              <w:rPr>
                <w:rFonts w:ascii="宋体" w:hAnsi="宋体" w:cs="Times New Roman"/>
                <w:szCs w:val="21"/>
              </w:rPr>
            </w:pPr>
          </w:p>
        </w:tc>
        <w:tc>
          <w:tcPr>
            <w:tcW w:w="1566" w:type="dxa"/>
            <w:vMerge w:val="continue"/>
            <w:vAlign w:val="center"/>
          </w:tcPr>
          <w:p w14:paraId="3211A54A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</w:p>
        </w:tc>
      </w:tr>
      <w:tr w14:paraId="47E0C436">
        <w:tc>
          <w:tcPr>
            <w:tcW w:w="1209" w:type="dxa"/>
            <w:vAlign w:val="center"/>
          </w:tcPr>
          <w:p w14:paraId="6F9CA51B">
            <w:pPr>
              <w:spacing w:line="300" w:lineRule="auto"/>
              <w:ind w:firstLine="0" w:firstLineChars="0"/>
              <w:rPr>
                <w:rFonts w:ascii="宋体" w:hAnsi="宋体" w:cs="Times New Roman"/>
                <w:szCs w:val="21"/>
              </w:rPr>
            </w:pPr>
            <w:r>
              <w:rPr>
                <w:rFonts w:hint="eastAsia" w:ascii="宋体" w:hAnsi="宋体" w:cs="Times New Roman"/>
                <w:szCs w:val="21"/>
              </w:rPr>
              <w:t>综合评分</w:t>
            </w:r>
          </w:p>
        </w:tc>
        <w:tc>
          <w:tcPr>
            <w:tcW w:w="7401" w:type="dxa"/>
            <w:gridSpan w:val="3"/>
            <w:vAlign w:val="center"/>
          </w:tcPr>
          <w:p w14:paraId="6776E0D6">
            <w:pPr>
              <w:spacing w:line="300" w:lineRule="auto"/>
              <w:ind w:firstLine="420" w:firstLineChars="20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i/>
                <w:szCs w:val="21"/>
              </w:rPr>
              <w:t>λ</w:t>
            </w:r>
            <w:r>
              <w:rPr>
                <w:rFonts w:ascii="宋体" w:hAnsi="宋体" w:cs="Times New Roman"/>
                <w:szCs w:val="21"/>
                <w:vertAlign w:val="subscript"/>
              </w:rPr>
              <w:t>1</w:t>
            </w:r>
            <w:r>
              <w:rPr>
                <w:rFonts w:hint="eastAsia" w:ascii="宋体" w:hAnsi="宋体" w:cs="Times New Roman"/>
                <w:szCs w:val="21"/>
              </w:rPr>
              <w:t>A+</w:t>
            </w:r>
            <w:r>
              <w:rPr>
                <w:rFonts w:ascii="宋体" w:hAnsi="宋体" w:cs="Times New Roman"/>
                <w:i/>
                <w:szCs w:val="21"/>
              </w:rPr>
              <w:t>λ</w:t>
            </w:r>
            <w:r>
              <w:rPr>
                <w:rFonts w:ascii="宋体" w:hAnsi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宋体" w:hAnsi="宋体" w:cs="Times New Roman"/>
                <w:szCs w:val="21"/>
              </w:rPr>
              <w:t>B</w:t>
            </w:r>
          </w:p>
          <w:p w14:paraId="569C5E76">
            <w:pPr>
              <w:spacing w:line="300" w:lineRule="auto"/>
              <w:ind w:firstLine="420" w:firstLineChars="200"/>
              <w:rPr>
                <w:rFonts w:ascii="宋体" w:hAnsi="宋体" w:cs="Times New Roman"/>
                <w:szCs w:val="21"/>
              </w:rPr>
            </w:pPr>
            <w:r>
              <w:rPr>
                <w:rFonts w:ascii="宋体" w:hAnsi="宋体" w:cs="Times New Roman"/>
                <w:szCs w:val="21"/>
              </w:rPr>
              <w:t>式中Σ</w:t>
            </w:r>
            <w:r>
              <w:rPr>
                <w:rFonts w:ascii="宋体" w:hAnsi="宋体" w:cs="Times New Roman"/>
                <w:i/>
                <w:szCs w:val="21"/>
              </w:rPr>
              <w:t>λ</w:t>
            </w:r>
            <w:r>
              <w:rPr>
                <w:rFonts w:hint="eastAsia" w:ascii="宋体" w:hAnsi="宋体" w:cs="Times New Roman"/>
                <w:szCs w:val="21"/>
                <w:vertAlign w:val="subscript"/>
              </w:rPr>
              <w:t>i</w:t>
            </w:r>
            <w:r>
              <w:rPr>
                <w:rFonts w:hint="eastAsia" w:ascii="宋体" w:hAnsi="宋体" w:cs="Times New Roman"/>
                <w:szCs w:val="21"/>
              </w:rPr>
              <w:t>=</w:t>
            </w:r>
            <w:r>
              <w:rPr>
                <w:rFonts w:ascii="宋体" w:hAnsi="宋体" w:cs="Times New Roman"/>
                <w:szCs w:val="21"/>
              </w:rPr>
              <w:t>1</w:t>
            </w:r>
          </w:p>
        </w:tc>
      </w:tr>
    </w:tbl>
    <w:p w14:paraId="2935109C">
      <w:pPr>
        <w:ind w:firstLine="0" w:firstLineChars="0"/>
        <w:rPr>
          <w:rFonts w:cs="Times New Roman"/>
          <w:sz w:val="24"/>
          <w:szCs w:val="24"/>
        </w:rPr>
        <w:sectPr>
          <w:headerReference r:id="rId11" w:type="first"/>
          <w:footerReference r:id="rId12" w:type="firs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73CAF754">
      <w:pPr>
        <w:ind w:firstLine="720" w:firstLineChars="200"/>
        <w:jc w:val="center"/>
        <w:rPr>
          <w:rFonts w:eastAsia="黑体" w:cs="Times New Roman"/>
          <w:sz w:val="36"/>
          <w:szCs w:val="32"/>
        </w:rPr>
      </w:pPr>
      <w:r>
        <w:rPr>
          <w:rFonts w:eastAsia="黑体" w:cs="Times New Roman"/>
          <w:sz w:val="36"/>
          <w:szCs w:val="32"/>
        </w:rPr>
        <w:t>报告正文</w:t>
      </w:r>
    </w:p>
    <w:p w14:paraId="3B039440">
      <w:pPr>
        <w:pStyle w:val="23"/>
        <w:numPr>
          <w:numId w:val="0"/>
        </w:numPr>
        <w:spacing w:before="156" w:after="156"/>
        <w:ind w:firstLine="600" w:firstLineChars="200"/>
        <w:jc w:val="both"/>
        <w:rPr>
          <w:rFonts w:ascii="宋体" w:hAnsi="宋体" w:eastAsia="宋体" w:cs="宋体"/>
          <w:sz w:val="24"/>
        </w:rPr>
      </w:pPr>
      <w:r>
        <w:rPr>
          <w:rFonts w:hint="eastAsia"/>
          <w:sz w:val="30"/>
          <w:szCs w:val="30"/>
          <w:lang w:val="en-US" w:eastAsia="zh-CN"/>
        </w:rPr>
        <w:t>一、</w:t>
      </w: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的目的</w:t>
      </w:r>
      <w:r>
        <w:rPr>
          <w:rFonts w:hint="eastAsia"/>
          <w:sz w:val="30"/>
          <w:szCs w:val="30"/>
        </w:rPr>
        <w:t>与</w:t>
      </w:r>
      <w:r>
        <w:rPr>
          <w:sz w:val="30"/>
          <w:szCs w:val="30"/>
        </w:rPr>
        <w:t>意义</w:t>
      </w:r>
    </w:p>
    <w:p w14:paraId="2C69A3D4">
      <w:pPr>
        <w:pStyle w:val="23"/>
        <w:spacing w:beforeLines="0" w:afterLines="0"/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信号频率估计作为信息感知与解析的核心环节，其根本目的在于从复杂的环境背景中精准提取信号的核心振荡特征——频率。这项能力对于现代社会的运行具有深远且不可或缺的意义：它是确保无线通信（如手机通话、高速上网、卫星导航）清晰流畅、数据传输准确无误的关键基础，使得跨越空间的即时信息交互成为可能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 w14:paraId="0F2CEE50">
      <w:pPr>
        <w:pStyle w:val="23"/>
        <w:spacing w:beforeLines="0" w:afterLines="0"/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在工业领域，它支撑着大型设备（如发电机、涡轮机）的状态监测与故障预警，通过捕捉机械振动、电流等信号的细微频率变化，有效预防事故，保障生产安全与效率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 w14:paraId="4DDFD372">
      <w:pPr>
        <w:pStyle w:val="23"/>
        <w:spacing w:beforeLines="0" w:afterLines="0"/>
        <w:ind w:firstLine="480" w:firstLineChars="20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</w:rPr>
        <w:t>在医疗健康方面，它助力于从心电、脑电等生命体征信号中提取关键生理信息，为疾病诊断与健康监护提供客观依据</w:t>
      </w:r>
      <w:r>
        <w:rPr>
          <w:rFonts w:hint="eastAsia" w:ascii="宋体" w:hAnsi="宋体" w:eastAsia="宋体" w:cs="宋体"/>
          <w:sz w:val="24"/>
          <w:lang w:eastAsia="zh-CN"/>
        </w:rPr>
        <w:t>。</w:t>
      </w:r>
    </w:p>
    <w:p w14:paraId="19084317">
      <w:pPr>
        <w:pStyle w:val="2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在国防与公共安全领域，它更是雷达探测目标、声呐识别水下物体、频谱监测防范干扰的核心技术，守护着国家安全与社会秩序。可以说，精准的频率估计能力如同“感知世</w:t>
      </w:r>
      <w:bookmarkStart w:id="0" w:name="_GoBack"/>
      <w:bookmarkEnd w:id="0"/>
      <w:r>
        <w:rPr>
          <w:rFonts w:hint="eastAsia" w:ascii="宋体" w:hAnsi="宋体" w:eastAsia="宋体" w:cs="宋体"/>
          <w:sz w:val="24"/>
        </w:rPr>
        <w:t>界的脉搏”，深度融入能源、交通、科研、娱乐等社会生活的方方面面，是驱动众多关键系统智能化、高效化、可靠化运行的底层引擎，其技术进步直接关系到国计民生的发展质量与安全水平。</w:t>
      </w:r>
    </w:p>
    <w:p w14:paraId="2DD3FC3C">
      <w:pPr>
        <w:pStyle w:val="23"/>
        <w:numPr>
          <w:numId w:val="0"/>
        </w:numPr>
        <w:spacing w:before="156" w:after="156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二、</w:t>
      </w:r>
      <w:r>
        <w:rPr>
          <w:rFonts w:hint="eastAsia"/>
          <w:sz w:val="30"/>
          <w:szCs w:val="30"/>
        </w:rPr>
        <w:t>国内外研究现状概</w:t>
      </w:r>
      <w:r>
        <w:rPr>
          <w:sz w:val="30"/>
          <w:szCs w:val="30"/>
        </w:rPr>
        <w:t>述</w:t>
      </w:r>
    </w:p>
    <w:p w14:paraId="23626DC4">
      <w:pPr>
        <w:pStyle w:val="23"/>
        <w:spacing w:beforeLines="0" w:afterLines="0"/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当前，信号频率估计领域的研究在全球范围内持续深化，其发展动力紧密围绕实际应用场景对感知精度、环境适应性与智能化水平的迫切需求。</w:t>
      </w:r>
    </w:p>
    <w:p w14:paraId="375A6DCE">
      <w:pPr>
        <w:pStyle w:val="23"/>
        <w:spacing w:beforeLines="0" w:afterLines="0"/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国际上，研究前沿已从传统谱分析框架向多维度、强鲁棒性方向拓展：一方面致力于在极低信噪比、非平稳环境（如高速移动通信、强噪声工业现场）中突破感知精度极限，发展抗干扰、高容错的估计理论；另一方面积极融合人工智能技术，探索基于数据驱动的智能频率提取方法，显著提升复杂多变场景（如脑电信号解析、多目标雷达识别）的自主适应能力。与此同时，高维信号处理（如阵列传感器网络、分布式频谱监测）与微型化嵌入式系统的结合，正推动频率估计技术在物联网、穿戴设备等边缘计算场景的落地。</w:t>
      </w:r>
    </w:p>
    <w:p w14:paraId="38805780">
      <w:pPr>
        <w:pStyle w:val="23"/>
        <w:spacing w:beforeLines="0" w:afterLines="0"/>
        <w:ind w:firstLine="480" w:firstLineChars="20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在国内，研究力量紧跟国际前沿并突出应用导向：国家级科研计划持续支持基础理论创新，重点攻关“卡脖子”场景（如深海声呐探测、航天器测控）中的高精度实时估计难题；工业界与学术界深度协同，在高端装备故障诊断、5G/6G通信同步、智慧医疗监护等领域形成了一批具有自主知识产权的技术方案，显著提升了重大工程系统的可靠性与智能化水平。整体而言，全球研究正呈现“理论—技术—应用”全链条创新态势，而国内研究更强调服务国家战略需求，致力于将频率估计能力转化为产业升级与安全保障的核心竞争力。</w:t>
      </w:r>
    </w:p>
    <w:p w14:paraId="2EA98AD7">
      <w:pPr>
        <w:pStyle w:val="23"/>
        <w:numPr>
          <w:ilvl w:val="0"/>
          <w:numId w:val="1"/>
        </w:numPr>
        <w:spacing w:before="156" w:after="156"/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研究内容</w:t>
      </w:r>
    </w:p>
    <w:p w14:paraId="62ED6392">
      <w:pPr>
        <w:pStyle w:val="23"/>
        <w:spacing w:beforeLines="0" w:afterLines="0"/>
        <w:ind w:firstLine="480" w:firstLineChars="200"/>
        <w:jc w:val="both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 xml:space="preserve">为了解决栅栏效应对频率估计值精度的影响，提升算法抗噪性能，在 </w:t>
      </w:r>
      <w:r>
        <w:rPr>
          <w:rFonts w:hint="default" w:ascii="宋体" w:hAnsi="宋体" w:eastAsia="宋体" w:cs="宋体"/>
          <w:sz w:val="24"/>
          <w:lang w:val="en-US" w:eastAsia="zh-CN"/>
        </w:rPr>
        <w:t xml:space="preserve">CZT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算法的基础上，提出了一种改进的 </w:t>
      </w:r>
      <w:r>
        <w:rPr>
          <w:rFonts w:hint="default" w:ascii="宋体" w:hAnsi="宋体" w:eastAsia="宋体" w:cs="宋体"/>
          <w:sz w:val="24"/>
          <w:lang w:val="en-US" w:eastAsia="zh-CN"/>
        </w:rPr>
        <w:t xml:space="preserve">CZT </w:t>
      </w:r>
      <w:r>
        <w:rPr>
          <w:rFonts w:hint="eastAsia" w:ascii="宋体" w:hAnsi="宋体" w:eastAsia="宋体" w:cs="宋体"/>
          <w:sz w:val="24"/>
          <w:lang w:val="en-US" w:eastAsia="zh-CN"/>
        </w:rPr>
        <w:t>算法。该方法利用细化后频谱最大谱线及其左右谱线幅值计算频率偏移值，从而提升频率估计精度。最后，通过理论仿真和现场实验验证了算法的性能。</w:t>
      </w:r>
    </w:p>
    <w:p w14:paraId="40779024">
      <w:pPr>
        <w:pStyle w:val="23"/>
        <w:numPr>
          <w:ilvl w:val="0"/>
          <w:numId w:val="1"/>
        </w:numPr>
        <w:spacing w:before="156" w:after="156"/>
        <w:ind w:left="0" w:leftChars="0" w:firstLine="600" w:firstLineChars="200"/>
        <w:rPr>
          <w:rFonts w:ascii="宋体" w:hAnsi="宋体" w:eastAsia="宋体" w:cs="宋体"/>
          <w:sz w:val="24"/>
        </w:rPr>
      </w:pPr>
      <w:r>
        <w:rPr>
          <w:rFonts w:hint="eastAsia"/>
          <w:sz w:val="30"/>
          <w:szCs w:val="30"/>
        </w:rPr>
        <w:t>研究</w:t>
      </w:r>
      <w:r>
        <w:rPr>
          <w:sz w:val="30"/>
          <w:szCs w:val="30"/>
        </w:rPr>
        <w:t>方案</w:t>
      </w:r>
    </w:p>
    <w:p w14:paraId="08DCDD7C">
      <w:pPr>
        <w:pStyle w:val="23"/>
        <w:numPr>
          <w:ilvl w:val="0"/>
          <w:numId w:val="1"/>
        </w:numPr>
        <w:spacing w:before="156" w:after="156"/>
        <w:ind w:left="0" w:leftChars="0" w:firstLine="600" w:firstLineChars="200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项目分工</w:t>
      </w:r>
    </w:p>
    <w:p w14:paraId="0DE0E42D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黎峻彤：算法编写，开题报告，结题报告</w:t>
      </w:r>
    </w:p>
    <w:p w14:paraId="767270F7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严裕松：开题答辩，仿真</w:t>
      </w:r>
    </w:p>
    <w:p w14:paraId="11EC72C6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戈敏融：仿真，结题PPT</w:t>
      </w:r>
    </w:p>
    <w:p w14:paraId="732E6FAA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张恩境：结题报告，论文查找</w:t>
      </w:r>
    </w:p>
    <w:p w14:paraId="335F7BEF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章琳琅：开题PPT，论文查找</w:t>
      </w:r>
    </w:p>
    <w:p w14:paraId="3B3D1342"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所有组员参与实验思路的设计。</w:t>
      </w:r>
    </w:p>
    <w:p w14:paraId="0005E746">
      <w:pPr>
        <w:pStyle w:val="23"/>
        <w:numPr>
          <w:ilvl w:val="0"/>
          <w:numId w:val="1"/>
        </w:numPr>
        <w:spacing w:before="156" w:after="156"/>
        <w:ind w:left="0" w:leftChars="0"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参考文献</w:t>
      </w:r>
    </w:p>
    <w:p w14:paraId="7D8609EB">
      <w:pPr>
        <w:pStyle w:val="23"/>
        <w:spacing w:beforeLines="0" w:afterLines="0"/>
        <w:ind w:firstLine="480" w:firstLineChars="200"/>
        <w:jc w:val="left"/>
        <w:rPr>
          <w:rFonts w:ascii="宋体" w:hAnsi="宋体" w:eastAsia="宋体" w:cs="宋体"/>
          <w:sz w:val="24"/>
          <w:highlight w:val="yellow"/>
        </w:rPr>
      </w:pPr>
      <w:r>
        <w:rPr>
          <w:rFonts w:ascii="宋体" w:hAnsi="宋体" w:eastAsia="宋体" w:cs="宋体"/>
          <w:sz w:val="24"/>
          <w:highlight w:val="yellow"/>
        </w:rPr>
        <w:t>[1] 作者姓名</w:t>
      </w:r>
      <w:r>
        <w:rPr>
          <w:rFonts w:hint="eastAsia" w:ascii="宋体" w:hAnsi="宋体" w:eastAsia="宋体" w:cs="宋体"/>
          <w:sz w:val="24"/>
          <w:highlight w:val="yellow"/>
        </w:rPr>
        <w:t xml:space="preserve">. 文章题目. 文章来源. 出版年: 页码. </w:t>
      </w:r>
      <w:r>
        <w:rPr>
          <w:rFonts w:ascii="宋体" w:hAnsi="宋体" w:eastAsia="宋体" w:cs="宋体"/>
          <w:sz w:val="24"/>
          <w:highlight w:val="yellow"/>
        </w:rPr>
        <w:t>(</w:t>
      </w:r>
      <w:r>
        <w:rPr>
          <w:rFonts w:hint="eastAsia" w:ascii="宋体" w:hAnsi="宋体" w:eastAsia="宋体" w:cs="宋体"/>
          <w:sz w:val="24"/>
          <w:highlight w:val="yellow"/>
        </w:rPr>
        <w:t>例子</w:t>
      </w:r>
      <w:r>
        <w:rPr>
          <w:rFonts w:ascii="宋体" w:hAnsi="宋体" w:eastAsia="宋体" w:cs="宋体"/>
          <w:sz w:val="24"/>
          <w:highlight w:val="yellow"/>
        </w:rPr>
        <w:t>)</w:t>
      </w:r>
    </w:p>
    <w:sectPr>
      <w:footerReference r:id="rId13" w:type="first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nhala MN Regular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(使用中文字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(使用中文字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用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C1B1E1">
    <w:pPr>
      <w:pStyle w:val="6"/>
      <w:ind w:firstLine="489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404409"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C4AD23">
    <w:pPr>
      <w:pStyle w:val="6"/>
      <w:ind w:firstLine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6C03BE">
    <w:pPr>
      <w:pStyle w:val="6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981831"/>
    </w:sdtPr>
    <w:sdtContent>
      <w:sdt>
        <w:sdtPr>
          <w:id w:val="-1"/>
        </w:sdtPr>
        <w:sdtContent>
          <w:p w14:paraId="4B1D180F">
            <w:pPr>
              <w:pStyle w:val="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30E705"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063B1">
    <w:pPr>
      <w:pStyle w:val="7"/>
      <w:ind w:firstLine="360"/>
    </w:pPr>
    <w:r>
      <w:rPr>
        <w:rFonts w:hint="eastAsia"/>
      </w:rPr>
      <w:t>课程设计B-信号处理基础设计 课程开题报告 202</w:t>
    </w:r>
    <w:r>
      <w:t>2</w:t>
    </w:r>
    <w:r>
      <w:rPr>
        <w:rFonts w:hint="eastAsia"/>
      </w:rPr>
      <w:t>年</w:t>
    </w:r>
    <w:r>
      <w:t>11</w:t>
    </w:r>
    <w:r>
      <w:rPr>
        <w:rFonts w:hint="eastAsia"/>
      </w:rPr>
      <w:t>月</w:t>
    </w:r>
  </w:p>
  <w:p w14:paraId="7D5D4980">
    <w:pPr>
      <w:pStyle w:val="7"/>
      <w:pBdr>
        <w:bottom w:val="none" w:color="auto" w:sz="0" w:space="1"/>
      </w:pBdr>
      <w:adjustRightInd w:val="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F7BBDA"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43E8BF">
    <w:pPr>
      <w:pStyle w:val="7"/>
      <w:pBdr>
        <w:bottom w:val="none" w:color="auto" w:sz="0" w:space="0"/>
      </w:pBdr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A93A6F">
    <w:pPr>
      <w:pStyle w:val="7"/>
      <w:ind w:firstLine="360"/>
    </w:pPr>
    <w:r>
      <w:rPr>
        <w:rFonts w:hint="eastAsia"/>
      </w:rPr>
      <w:t>课程设计B-信号处理基础设计 课程开题报告 202</w:t>
    </w:r>
    <w:r>
      <w:t>5</w:t>
    </w:r>
    <w:r>
      <w:rPr>
        <w:rFonts w:hint="eastAsia"/>
      </w:rPr>
      <w:t>年7月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2B2FDF"/>
    <w:multiLevelType w:val="singleLevel"/>
    <w:tmpl w:val="562B2FDF"/>
    <w:lvl w:ilvl="0" w:tentative="0">
      <w:start w:val="1"/>
      <w:numFmt w:val="chineseCountingThousand"/>
      <w:lvlText w:val="%1、"/>
      <w:lvlJc w:val="left"/>
      <w:pPr>
        <w:tabs>
          <w:tab w:val="left" w:pos="-420"/>
        </w:tabs>
        <w:ind w:left="0" w:hanging="420"/>
      </w:pPr>
      <w:rPr>
        <w:rFonts w:hint="eastAsia" w:ascii="黑体" w:hAnsi="黑体" w:eastAsia="黑体" w:cs="黑体"/>
        <w:b w:val="0"/>
        <w:sz w:val="30"/>
        <w:szCs w:val="3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yNzMwMDIwZGIxNTdhZTUwYTZhZDQ0YzUzNmMwZjQifQ=="/>
  </w:docVars>
  <w:rsids>
    <w:rsidRoot w:val="004F6D43"/>
    <w:rsid w:val="00001A69"/>
    <w:rsid w:val="000267B8"/>
    <w:rsid w:val="00047B1F"/>
    <w:rsid w:val="0005304E"/>
    <w:rsid w:val="000549A6"/>
    <w:rsid w:val="000765BC"/>
    <w:rsid w:val="00082B18"/>
    <w:rsid w:val="000C07D1"/>
    <w:rsid w:val="00123D5B"/>
    <w:rsid w:val="001327B1"/>
    <w:rsid w:val="00136F47"/>
    <w:rsid w:val="001525F5"/>
    <w:rsid w:val="00167D9C"/>
    <w:rsid w:val="00197EBA"/>
    <w:rsid w:val="001B6A2E"/>
    <w:rsid w:val="001D0849"/>
    <w:rsid w:val="001F6A16"/>
    <w:rsid w:val="00232A45"/>
    <w:rsid w:val="002377C9"/>
    <w:rsid w:val="002408CB"/>
    <w:rsid w:val="002419E1"/>
    <w:rsid w:val="00245685"/>
    <w:rsid w:val="00246B8D"/>
    <w:rsid w:val="00251D62"/>
    <w:rsid w:val="002B5854"/>
    <w:rsid w:val="002C2362"/>
    <w:rsid w:val="002D6738"/>
    <w:rsid w:val="002F615F"/>
    <w:rsid w:val="00315B47"/>
    <w:rsid w:val="00335013"/>
    <w:rsid w:val="00335578"/>
    <w:rsid w:val="0033585D"/>
    <w:rsid w:val="00337B93"/>
    <w:rsid w:val="00346E1D"/>
    <w:rsid w:val="00352A18"/>
    <w:rsid w:val="00374F97"/>
    <w:rsid w:val="003872F7"/>
    <w:rsid w:val="00390A50"/>
    <w:rsid w:val="003B37D5"/>
    <w:rsid w:val="003E0342"/>
    <w:rsid w:val="003E2DD6"/>
    <w:rsid w:val="003F0419"/>
    <w:rsid w:val="004052BA"/>
    <w:rsid w:val="004135D6"/>
    <w:rsid w:val="0041519B"/>
    <w:rsid w:val="004263EB"/>
    <w:rsid w:val="00437F16"/>
    <w:rsid w:val="00453EB4"/>
    <w:rsid w:val="004624FF"/>
    <w:rsid w:val="00466E2C"/>
    <w:rsid w:val="00484644"/>
    <w:rsid w:val="0048575B"/>
    <w:rsid w:val="00487E24"/>
    <w:rsid w:val="004A0E45"/>
    <w:rsid w:val="004A3BCD"/>
    <w:rsid w:val="004A5B88"/>
    <w:rsid w:val="004F6D43"/>
    <w:rsid w:val="0052229E"/>
    <w:rsid w:val="00526ED3"/>
    <w:rsid w:val="00547955"/>
    <w:rsid w:val="00547ED8"/>
    <w:rsid w:val="005658D7"/>
    <w:rsid w:val="0058412E"/>
    <w:rsid w:val="005875D7"/>
    <w:rsid w:val="005957E3"/>
    <w:rsid w:val="00595D09"/>
    <w:rsid w:val="005C03BD"/>
    <w:rsid w:val="005C61FB"/>
    <w:rsid w:val="005D5B56"/>
    <w:rsid w:val="005E2E7D"/>
    <w:rsid w:val="005E409B"/>
    <w:rsid w:val="006349BB"/>
    <w:rsid w:val="00635347"/>
    <w:rsid w:val="006826C1"/>
    <w:rsid w:val="00690514"/>
    <w:rsid w:val="00690E9B"/>
    <w:rsid w:val="006A0BA2"/>
    <w:rsid w:val="006B1ED3"/>
    <w:rsid w:val="006B5B58"/>
    <w:rsid w:val="006D749C"/>
    <w:rsid w:val="006E33F0"/>
    <w:rsid w:val="006E40F9"/>
    <w:rsid w:val="006F362D"/>
    <w:rsid w:val="006F4EEB"/>
    <w:rsid w:val="007317F2"/>
    <w:rsid w:val="00734918"/>
    <w:rsid w:val="00742542"/>
    <w:rsid w:val="007521F0"/>
    <w:rsid w:val="00756012"/>
    <w:rsid w:val="00792AAE"/>
    <w:rsid w:val="007A440E"/>
    <w:rsid w:val="007B20BB"/>
    <w:rsid w:val="007C7153"/>
    <w:rsid w:val="007C7C26"/>
    <w:rsid w:val="007D18EB"/>
    <w:rsid w:val="007D430B"/>
    <w:rsid w:val="007E1250"/>
    <w:rsid w:val="007E5B91"/>
    <w:rsid w:val="008128F9"/>
    <w:rsid w:val="00813779"/>
    <w:rsid w:val="00832B90"/>
    <w:rsid w:val="00850CB0"/>
    <w:rsid w:val="00856852"/>
    <w:rsid w:val="00861FC1"/>
    <w:rsid w:val="008755D8"/>
    <w:rsid w:val="0087753C"/>
    <w:rsid w:val="00883315"/>
    <w:rsid w:val="008C6990"/>
    <w:rsid w:val="008E1E37"/>
    <w:rsid w:val="009019D4"/>
    <w:rsid w:val="0091197B"/>
    <w:rsid w:val="00914BCA"/>
    <w:rsid w:val="00931369"/>
    <w:rsid w:val="00946643"/>
    <w:rsid w:val="009732DC"/>
    <w:rsid w:val="00986368"/>
    <w:rsid w:val="009A5A23"/>
    <w:rsid w:val="009B3DC9"/>
    <w:rsid w:val="009C3D85"/>
    <w:rsid w:val="009D41FC"/>
    <w:rsid w:val="009E7AD5"/>
    <w:rsid w:val="009F4B5A"/>
    <w:rsid w:val="00A0616C"/>
    <w:rsid w:val="00A07B17"/>
    <w:rsid w:val="00A1090B"/>
    <w:rsid w:val="00A17EFC"/>
    <w:rsid w:val="00A420E8"/>
    <w:rsid w:val="00A874E7"/>
    <w:rsid w:val="00AB79D0"/>
    <w:rsid w:val="00AD1F4E"/>
    <w:rsid w:val="00B00117"/>
    <w:rsid w:val="00B0575C"/>
    <w:rsid w:val="00B206B9"/>
    <w:rsid w:val="00B36066"/>
    <w:rsid w:val="00B40245"/>
    <w:rsid w:val="00B4620E"/>
    <w:rsid w:val="00B51139"/>
    <w:rsid w:val="00B70C0F"/>
    <w:rsid w:val="00B8656F"/>
    <w:rsid w:val="00B928CC"/>
    <w:rsid w:val="00BA229D"/>
    <w:rsid w:val="00BA450C"/>
    <w:rsid w:val="00BB22F4"/>
    <w:rsid w:val="00BD0C9B"/>
    <w:rsid w:val="00BD1312"/>
    <w:rsid w:val="00BD426B"/>
    <w:rsid w:val="00BD5A75"/>
    <w:rsid w:val="00BE0E75"/>
    <w:rsid w:val="00BE731E"/>
    <w:rsid w:val="00BF7B54"/>
    <w:rsid w:val="00C03EEF"/>
    <w:rsid w:val="00C366A9"/>
    <w:rsid w:val="00C52011"/>
    <w:rsid w:val="00CA0C04"/>
    <w:rsid w:val="00CA0EE6"/>
    <w:rsid w:val="00D02135"/>
    <w:rsid w:val="00D274CF"/>
    <w:rsid w:val="00D3340E"/>
    <w:rsid w:val="00D4550F"/>
    <w:rsid w:val="00D60618"/>
    <w:rsid w:val="00D87C57"/>
    <w:rsid w:val="00DE37B2"/>
    <w:rsid w:val="00DF6D1D"/>
    <w:rsid w:val="00E01BA5"/>
    <w:rsid w:val="00E04830"/>
    <w:rsid w:val="00E124E6"/>
    <w:rsid w:val="00E1666A"/>
    <w:rsid w:val="00E1671A"/>
    <w:rsid w:val="00E16D04"/>
    <w:rsid w:val="00E2355F"/>
    <w:rsid w:val="00E270F0"/>
    <w:rsid w:val="00E41EA1"/>
    <w:rsid w:val="00E45A7F"/>
    <w:rsid w:val="00E51C54"/>
    <w:rsid w:val="00E85D34"/>
    <w:rsid w:val="00E938FE"/>
    <w:rsid w:val="00EA1C0C"/>
    <w:rsid w:val="00EB5B9F"/>
    <w:rsid w:val="00ED0B1A"/>
    <w:rsid w:val="00ED0D60"/>
    <w:rsid w:val="00ED233B"/>
    <w:rsid w:val="00EE54DD"/>
    <w:rsid w:val="00F00FF6"/>
    <w:rsid w:val="00F14307"/>
    <w:rsid w:val="00F2267C"/>
    <w:rsid w:val="00F54DBC"/>
    <w:rsid w:val="00F7231D"/>
    <w:rsid w:val="00F731EB"/>
    <w:rsid w:val="00F8628E"/>
    <w:rsid w:val="00F86645"/>
    <w:rsid w:val="00F87B57"/>
    <w:rsid w:val="00F977EE"/>
    <w:rsid w:val="00FA0026"/>
    <w:rsid w:val="00FB2B9F"/>
    <w:rsid w:val="00FF6D98"/>
    <w:rsid w:val="08677EAC"/>
    <w:rsid w:val="0FEF588A"/>
    <w:rsid w:val="17402C15"/>
    <w:rsid w:val="1FC20893"/>
    <w:rsid w:val="257C1567"/>
    <w:rsid w:val="2B8840A1"/>
    <w:rsid w:val="2F1F5CDD"/>
    <w:rsid w:val="31662BB9"/>
    <w:rsid w:val="38461B00"/>
    <w:rsid w:val="486054AD"/>
    <w:rsid w:val="4D426964"/>
    <w:rsid w:val="5DF97DBB"/>
    <w:rsid w:val="5FE9643B"/>
    <w:rsid w:val="67650F30"/>
    <w:rsid w:val="7093611F"/>
    <w:rsid w:val="72881D38"/>
    <w:rsid w:val="7A946A10"/>
    <w:rsid w:val="7FAA07D5"/>
    <w:rsid w:val="B97F28F0"/>
    <w:rsid w:val="FC77F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4">
    <w:name w:val="Body Text"/>
    <w:basedOn w:val="1"/>
    <w:link w:val="18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21"/>
    <w:semiHidden/>
    <w:unhideWhenUsed/>
    <w:qFormat/>
    <w:uiPriority w:val="99"/>
    <w:rPr>
      <w:b/>
      <w:bCs/>
    </w:rPr>
  </w:style>
  <w:style w:type="paragraph" w:styleId="9">
    <w:name w:val="Body Text First Indent"/>
    <w:basedOn w:val="4"/>
    <w:link w:val="19"/>
    <w:qFormat/>
    <w:uiPriority w:val="0"/>
    <w:pPr>
      <w:spacing w:line="320" w:lineRule="atLeast"/>
      <w:ind w:firstLine="420" w:firstLineChars="0"/>
    </w:pPr>
    <w:rPr>
      <w:rFonts w:cs="Times New Roman"/>
      <w:szCs w:val="20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annotation reference"/>
    <w:basedOn w:val="12"/>
    <w:semiHidden/>
    <w:unhideWhenUsed/>
    <w:qFormat/>
    <w:uiPriority w:val="99"/>
    <w:rPr>
      <w:sz w:val="21"/>
      <w:szCs w:val="21"/>
    </w:rPr>
  </w:style>
  <w:style w:type="paragraph" w:styleId="15">
    <w:name w:val="List Paragraph"/>
    <w:basedOn w:val="1"/>
    <w:qFormat/>
    <w:uiPriority w:val="34"/>
    <w:pPr>
      <w:ind w:firstLine="420"/>
    </w:pPr>
  </w:style>
  <w:style w:type="character" w:customStyle="1" w:styleId="16">
    <w:name w:val="页眉 字符"/>
    <w:basedOn w:val="12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正文文本 字符"/>
    <w:basedOn w:val="12"/>
    <w:link w:val="4"/>
    <w:semiHidden/>
    <w:qFormat/>
    <w:uiPriority w:val="99"/>
    <w:rPr>
      <w:rFonts w:ascii="Times New Roman" w:hAnsi="Times New Roman" w:eastAsia="宋体"/>
    </w:rPr>
  </w:style>
  <w:style w:type="character" w:customStyle="1" w:styleId="19">
    <w:name w:val="正文文本首行缩进 字符"/>
    <w:basedOn w:val="18"/>
    <w:link w:val="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0">
    <w:name w:val="批注文字 字符"/>
    <w:basedOn w:val="12"/>
    <w:link w:val="3"/>
    <w:semiHidden/>
    <w:qFormat/>
    <w:uiPriority w:val="99"/>
    <w:rPr>
      <w:rFonts w:ascii="Times New Roman" w:hAnsi="Times New Roman" w:eastAsia="宋体"/>
    </w:rPr>
  </w:style>
  <w:style w:type="character" w:customStyle="1" w:styleId="21">
    <w:name w:val="批注主题 字符"/>
    <w:basedOn w:val="20"/>
    <w:link w:val="8"/>
    <w:semiHidden/>
    <w:qFormat/>
    <w:uiPriority w:val="99"/>
    <w:rPr>
      <w:rFonts w:ascii="Times New Roman" w:hAnsi="Times New Roman" w:eastAsia="宋体"/>
      <w:b/>
      <w:bCs/>
    </w:rPr>
  </w:style>
  <w:style w:type="character" w:customStyle="1" w:styleId="22">
    <w:name w:val="批注框文本 字符"/>
    <w:basedOn w:val="12"/>
    <w:link w:val="5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23">
    <w:name w:val="条"/>
    <w:basedOn w:val="1"/>
    <w:qFormat/>
    <w:uiPriority w:val="0"/>
    <w:pPr>
      <w:snapToGrid w:val="0"/>
      <w:spacing w:beforeLines="50" w:afterLines="50" w:line="300" w:lineRule="auto"/>
      <w:ind w:firstLine="0" w:firstLineChars="0"/>
    </w:pPr>
    <w:rPr>
      <w:rFonts w:eastAsia="黑体" w:cs="Times New Roman"/>
      <w:sz w:val="28"/>
      <w:szCs w:val="24"/>
    </w:rPr>
  </w:style>
  <w:style w:type="character" w:customStyle="1" w:styleId="24">
    <w:name w:val="样式1 Char"/>
    <w:link w:val="25"/>
    <w:qFormat/>
    <w:uiPriority w:val="0"/>
    <w:rPr>
      <w:sz w:val="24"/>
    </w:rPr>
  </w:style>
  <w:style w:type="paragraph" w:customStyle="1" w:styleId="25">
    <w:name w:val="样式1"/>
    <w:basedOn w:val="23"/>
    <w:link w:val="24"/>
    <w:qFormat/>
    <w:uiPriority w:val="0"/>
    <w:pPr>
      <w:spacing w:before="50" w:after="50"/>
    </w:pPr>
    <w:rPr>
      <w:rFonts w:asciiTheme="minorHAnsi" w:hAnsiTheme="minorHAnsi" w:eastAsiaTheme="minorEastAsia" w:cstheme="minorBidi"/>
      <w:sz w:val="24"/>
      <w:szCs w:val="22"/>
    </w:rPr>
  </w:style>
  <w:style w:type="table" w:customStyle="1" w:styleId="26">
    <w:name w:val="无格式表格 21"/>
    <w:basedOn w:val="1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Version="6" StyleName="APA" SelectedStyle="\APASixthEditionOfficeOnline.xsl"/>
</file>

<file path=customXml/itemProps1.xml><?xml version="1.0" encoding="utf-8"?>
<ds:datastoreItem xmlns:ds="http://schemas.openxmlformats.org/officeDocument/2006/customXml" ds:itemID="{74612994-C5EA-47B7-9572-294182BA9D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568</Words>
  <Characters>641</Characters>
  <Lines>7</Lines>
  <Paragraphs>2</Paragraphs>
  <TotalTime>11</TotalTime>
  <ScaleCrop>false</ScaleCrop>
  <LinksUpToDate>false</LinksUpToDate>
  <CharactersWithSpaces>898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2018-05-26T17:20:00Z</dcterms:created>
  <dc:creator>hsy</dc:creator>
  <cp:lastModifiedBy>(ーー;)</cp:lastModifiedBy>
  <dcterms:modified xsi:type="dcterms:W3CDTF">2025-07-05T18:08:51Z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FC3D1837A8FA4626BED3E42A4CD0C0A4_13</vt:lpwstr>
  </property>
  <property fmtid="{D5CDD505-2E9C-101B-9397-08002B2CF9AE}" pid="4" name="KSOTemplateDocerSaveRecord">
    <vt:lpwstr>eyJoZGlkIjoiNjlmN2FjODZjOWMxNDEwMjM2NDc5MDMyZGUxOWIwNDQiLCJ1c2VySWQiOiIxMDAyMDM5OTc1In0=</vt:lpwstr>
  </property>
</Properties>
</file>