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color w:val="1E4A7C"/>
          <w:sz w:val="40"/>
        </w:rPr>
        <w:t>达成度报告规则模板库（第一版）</w:t>
      </w:r>
    </w:p>
    <w:p>
      <w:pPr>
        <w:spacing w:after="240"/>
        <w:jc w:val="center"/>
      </w:pPr>
      <w:r>
        <w:rPr>
          <w:rFonts w:ascii="Noto Sans CJK SC" w:hAnsi="Noto Sans CJK SC" w:eastAsia="Noto Sans CJK SC"/>
          <w:i/>
          <w:sz w:val="21"/>
        </w:rPr>
        <w:t>用于课程目标达成情况分析及持续改进报告的规则化文案生成</w:t>
      </w:r>
    </w:p>
    <w:tbl>
      <w:tblPr>
        <w:tblW w:type="auto" w:w="0"/>
        <w:jc w:val="center"/>
        <w:tblLook w:firstColumn="1" w:firstRow="1" w:lastColumn="0" w:lastRow="0" w:noHBand="0" w:noVBand="1" w:val="04A0"/>
      </w:tblPr>
      <w:tblGrid>
        <w:gridCol w:w="9354"/>
      </w:tblGrid>
      <w:tr>
        <w:tc>
          <w:tcPr>
            <w:tcW w:type="dxa" w:w="9632"/>
            <w:shd w:fill="F5F9FD"/>
            <w:tcMar>
              <w:top w:w="130" w:type="dxa"/>
              <w:start w:w="140" w:type="dxa"/>
              <w:bottom w:w="130" w:type="dxa"/>
              <w:end w:w="140" w:type="dxa"/>
            </w:tcMar>
          </w:tcPr>
          <w:p>
            <w:pPr>
              <w:spacing w:line="300" w:lineRule="auto"/>
            </w:pPr>
            <w:r>
              <w:rPr>
                <w:rFonts w:ascii="Noto Sans CJK SC" w:hAnsi="Noto Sans CJK SC" w:eastAsia="Noto Sans CJK SC"/>
                <w:sz w:val="21"/>
              </w:rPr>
              <w:t>使用说明：本模板库用于将“课程目标结果表”“达成度报告分析底表”转化为较规范的报告段落。建议先由数据表生成“结果判断、主要问题判断、分析摘要、改进建议草稿”，再按本模板进行规则化拼接，最后再做少量人工润色。</w:t>
            </w:r>
          </w:p>
        </w:tc>
      </w:tr>
    </w:tbl>
    <w:p/>
    <w:p>
      <w:pPr>
        <w:pStyle w:val="Heading1"/>
        <w:spacing w:line="324" w:lineRule="auto" w:after="120"/>
      </w:pPr>
      <w:r>
        <w:rPr>
          <w:rFonts w:ascii="Noto Sans CJK SC" w:hAnsi="Noto Sans CJK SC" w:eastAsia="Noto Sans CJK SC"/>
        </w:rPr>
        <w:t>一、总体分析模板</w:t>
      </w:r>
    </w:p>
    <w:p>
      <w:pPr>
        <w:spacing w:line="324" w:lineRule="auto" w:after="120"/>
      </w:pPr>
      <w:r>
        <w:rPr>
          <w:rFonts w:ascii="Noto Sans CJK SC" w:hAnsi="Noto Sans CJK SC" w:eastAsia="Noto Sans CJK SC"/>
          <w:sz w:val="21"/>
        </w:rPr>
        <w:t>用于“课程目标达成情况分析”开头部分，先概括全课程总体达成情况。</w:t>
      </w:r>
    </w:p>
    <w:tbl>
      <w:tblPr>
        <w:tblStyle w:val="TableGrid"/>
        <w:tblW w:type="auto" w:w="0"/>
        <w:jc w:val="center"/>
        <w:tblLayout w:type="fixed"/>
        <w:tblLook w:firstColumn="1" w:firstRow="1" w:lastColumn="0" w:lastRow="0" w:noHBand="0" w:noVBand="1" w:val="04A0"/>
      </w:tblPr>
      <w:tblGrid>
        <w:gridCol w:w="1928"/>
        <w:gridCol w:w="2835"/>
        <w:gridCol w:w="4989"/>
      </w:tblGrid>
      <w:tr>
        <w:tc>
          <w:tcPr>
            <w:tcW w:type="dxa" w:w="3211"/>
            <w:tcMar>
              <w:top w:w="90" w:type="dxa"/>
              <w:start w:w="110" w:type="dxa"/>
              <w:bottom w:w="90" w:type="dxa"/>
              <w:end w:w="110" w:type="dxa"/>
            </w:tcMar>
            <w:vAlign w:val="center"/>
            <w:shd w:fill="D9EAF7"/>
          </w:tcPr>
          <w:p>
            <w:pPr>
              <w:spacing w:before="20" w:after="20" w:line="276" w:lineRule="auto"/>
              <w:jc w:val="center"/>
            </w:pPr>
            <w:r>
              <w:rPr>
                <w:rFonts w:ascii="Noto Sans CJK SC" w:hAnsi="Noto Sans CJK SC" w:eastAsia="Noto Sans CJK SC"/>
                <w:b/>
                <w:sz w:val="21"/>
              </w:rPr>
              <w:t>模板名称</w:t>
            </w:r>
          </w:p>
        </w:tc>
        <w:tc>
          <w:tcPr>
            <w:tcW w:type="dxa" w:w="3211"/>
            <w:tcMar>
              <w:top w:w="90" w:type="dxa"/>
              <w:start w:w="110" w:type="dxa"/>
              <w:bottom w:w="90" w:type="dxa"/>
              <w:end w:w="110" w:type="dxa"/>
            </w:tcMar>
            <w:vAlign w:val="center"/>
            <w:shd w:fill="D9EAF7"/>
          </w:tcPr>
          <w:p>
            <w:pPr>
              <w:spacing w:before="20" w:after="20" w:line="276" w:lineRule="auto"/>
              <w:jc w:val="center"/>
            </w:pPr>
            <w:r>
              <w:rPr>
                <w:rFonts w:ascii="Noto Sans CJK SC" w:hAnsi="Noto Sans CJK SC" w:eastAsia="Noto Sans CJK SC"/>
                <w:b/>
                <w:sz w:val="21"/>
              </w:rPr>
              <w:t>适用条件</w:t>
            </w:r>
          </w:p>
        </w:tc>
        <w:tc>
          <w:tcPr>
            <w:tcW w:type="dxa" w:w="3211"/>
            <w:tcMar>
              <w:top w:w="90" w:type="dxa"/>
              <w:start w:w="110" w:type="dxa"/>
              <w:bottom w:w="90" w:type="dxa"/>
              <w:end w:w="110" w:type="dxa"/>
            </w:tcMar>
            <w:vAlign w:val="center"/>
            <w:shd w:fill="D9EAF7"/>
          </w:tcPr>
          <w:p>
            <w:pPr>
              <w:spacing w:before="20" w:after="20" w:line="276" w:lineRule="auto"/>
              <w:jc w:val="center"/>
            </w:pPr>
            <w:r>
              <w:rPr>
                <w:rFonts w:ascii="Noto Sans CJK SC" w:hAnsi="Noto Sans CJK SC" w:eastAsia="Noto Sans CJK SC"/>
                <w:b/>
                <w:sz w:val="21"/>
              </w:rPr>
              <w:t>模板正文</w:t>
            </w:r>
          </w:p>
        </w:tc>
      </w:tr>
      <w:tr>
        <w:tc>
          <w:tcPr>
            <w:tcW w:type="dxa" w:w="1928"/>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模板A：整体达标且情况较好</w:t>
            </w:r>
          </w:p>
        </w:tc>
        <w:tc>
          <w:tcPr>
            <w:tcW w:type="dxa" w:w="2835"/>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所有课程目标综合平均达成值均 ≥ 达标阈值，且高分段人数占比较高。</w:t>
            </w:r>
          </w:p>
        </w:tc>
        <w:tc>
          <w:tcPr>
            <w:tcW w:type="dxa" w:w="4989"/>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本课程共设置{课程目标数量}个课程目标，参与达成度评价学生共{参与人数}人。经统计，课程目标1综合平均达成值为{目标1达成值}，课程目标2综合平均达成值为{目标2达成值}，均达到预设达标阈值{达标阈值}。总体来看，本课程各课程目标达成情况较好，学生对相关知识点和能力要求掌握较为扎实，课程教学目标基本实现。</w:t>
            </w:r>
          </w:p>
        </w:tc>
      </w:tr>
      <w:tr>
        <w:tc>
          <w:tcPr>
            <w:tcW w:type="dxa" w:w="1928"/>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模板B：整体达标但存在分化</w:t>
            </w:r>
          </w:p>
        </w:tc>
        <w:tc>
          <w:tcPr>
            <w:tcW w:type="dxa" w:w="2835"/>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所有课程目标均达标，但某一目标低分段占比较高，或不同目标差异明显。</w:t>
            </w:r>
          </w:p>
        </w:tc>
        <w:tc>
          <w:tcPr>
            <w:tcW w:type="dxa" w:w="4989"/>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本课程共设置{课程目标数量}个课程目标，参与达成度评价学生共{参与人数}人。经统计，课程目标1综合平均达成值为{目标1达成值}，课程目标2综合平均达成值为{目标2达成值}，均达到预设达标阈值{达标阈值}。总体来看，本课程课程目标整体达标，但不同课程目标之间及学生个体之间达成情况存在一定差异，部分学生在个别目标对应知识与能力方面掌握不够均衡，后续仍需进一步优化教学实施过程。</w:t>
            </w:r>
          </w:p>
        </w:tc>
      </w:tr>
      <w:tr>
        <w:tc>
          <w:tcPr>
            <w:tcW w:type="dxa" w:w="1928"/>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模板C：存在未达标目标</w:t>
            </w:r>
          </w:p>
        </w:tc>
        <w:tc>
          <w:tcPr>
            <w:tcW w:type="dxa" w:w="2835"/>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至少有一个课程目标综合平均达成值 &lt; 达标阈值。</w:t>
            </w:r>
          </w:p>
        </w:tc>
        <w:tc>
          <w:tcPr>
            <w:tcW w:type="dxa" w:w="4989"/>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本课程共设置{课程目标数量}个课程目标，参与达成度评价学生共{参与人数}人。经统计，课程目标1综合平均达成值为{目标1达成值}，课程目标2综合平均达成值为{目标2达成值}。其中，{未达标目标列表}未达到预设达标阈值{达标阈值}。这表明学生在相关课程目标对应知识理解、方法应用或实践能力方面仍存在不足，课程教学效果尚有进一步提升空间。</w:t>
            </w:r>
          </w:p>
        </w:tc>
      </w:tr>
    </w:tbl>
    <w:p/>
    <w:p>
      <w:pPr>
        <w:pStyle w:val="Heading1"/>
        <w:spacing w:line="324" w:lineRule="auto" w:after="120"/>
      </w:pPr>
      <w:r>
        <w:rPr>
          <w:rFonts w:ascii="Noto Sans CJK SC" w:hAnsi="Noto Sans CJK SC" w:eastAsia="Noto Sans CJK SC"/>
        </w:rPr>
        <w:t>二、单个课程目标分析模板</w:t>
      </w:r>
    </w:p>
    <w:p>
      <w:pPr>
        <w:spacing w:line="324" w:lineRule="auto" w:after="120"/>
      </w:pPr>
      <w:r>
        <w:rPr>
          <w:rFonts w:ascii="Noto Sans CJK SC" w:hAnsi="Noto Sans CJK SC" w:eastAsia="Noto Sans CJK SC"/>
          <w:sz w:val="21"/>
        </w:rPr>
        <w:t>用于逐个课程目标撰写分析段落，建议按“结果—分布—判断”顺序生成。</w:t>
      </w:r>
    </w:p>
    <w:tbl>
      <w:tblPr>
        <w:tblStyle w:val="TableGrid"/>
        <w:tblW w:type="auto" w:w="0"/>
        <w:jc w:val="center"/>
        <w:tblLayout w:type="fixed"/>
        <w:tblLook w:firstColumn="1" w:firstRow="1" w:lastColumn="0" w:lastRow="0" w:noHBand="0" w:noVBand="1" w:val="04A0"/>
      </w:tblPr>
      <w:tblGrid>
        <w:gridCol w:w="2041"/>
        <w:gridCol w:w="2721"/>
        <w:gridCol w:w="4989"/>
      </w:tblGrid>
      <w:tr>
        <w:tc>
          <w:tcPr>
            <w:tcW w:type="dxa" w:w="3211"/>
            <w:tcMar>
              <w:top w:w="90" w:type="dxa"/>
              <w:start w:w="110" w:type="dxa"/>
              <w:bottom w:w="90" w:type="dxa"/>
              <w:end w:w="110" w:type="dxa"/>
            </w:tcMar>
            <w:vAlign w:val="center"/>
            <w:shd w:fill="D9EAF7"/>
          </w:tcPr>
          <w:p>
            <w:pPr>
              <w:spacing w:before="20" w:after="20" w:line="276" w:lineRule="auto"/>
              <w:jc w:val="center"/>
            </w:pPr>
            <w:r>
              <w:rPr>
                <w:rFonts w:ascii="Noto Sans CJK SC" w:hAnsi="Noto Sans CJK SC" w:eastAsia="Noto Sans CJK SC"/>
                <w:b/>
                <w:sz w:val="21"/>
              </w:rPr>
              <w:t>模板名称</w:t>
            </w:r>
          </w:p>
        </w:tc>
        <w:tc>
          <w:tcPr>
            <w:tcW w:type="dxa" w:w="3211"/>
            <w:tcMar>
              <w:top w:w="90" w:type="dxa"/>
              <w:start w:w="110" w:type="dxa"/>
              <w:bottom w:w="90" w:type="dxa"/>
              <w:end w:w="110" w:type="dxa"/>
            </w:tcMar>
            <w:vAlign w:val="center"/>
            <w:shd w:fill="D9EAF7"/>
          </w:tcPr>
          <w:p>
            <w:pPr>
              <w:spacing w:before="20" w:after="20" w:line="276" w:lineRule="auto"/>
              <w:jc w:val="center"/>
            </w:pPr>
            <w:r>
              <w:rPr>
                <w:rFonts w:ascii="Noto Sans CJK SC" w:hAnsi="Noto Sans CJK SC" w:eastAsia="Noto Sans CJK SC"/>
                <w:b/>
                <w:sz w:val="21"/>
              </w:rPr>
              <w:t>适用条件</w:t>
            </w:r>
          </w:p>
        </w:tc>
        <w:tc>
          <w:tcPr>
            <w:tcW w:type="dxa" w:w="3211"/>
            <w:tcMar>
              <w:top w:w="90" w:type="dxa"/>
              <w:start w:w="110" w:type="dxa"/>
              <w:bottom w:w="90" w:type="dxa"/>
              <w:end w:w="110" w:type="dxa"/>
            </w:tcMar>
            <w:vAlign w:val="center"/>
            <w:shd w:fill="D9EAF7"/>
          </w:tcPr>
          <w:p>
            <w:pPr>
              <w:spacing w:before="20" w:after="20" w:line="276" w:lineRule="auto"/>
              <w:jc w:val="center"/>
            </w:pPr>
            <w:r>
              <w:rPr>
                <w:rFonts w:ascii="Noto Sans CJK SC" w:hAnsi="Noto Sans CJK SC" w:eastAsia="Noto Sans CJK SC"/>
                <w:b/>
                <w:sz w:val="21"/>
              </w:rPr>
              <w:t>模板正文</w:t>
            </w:r>
          </w:p>
        </w:tc>
      </w:tr>
      <w:tr>
        <w:tc>
          <w:tcPr>
            <w:tcW w:type="dxa" w:w="2041"/>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模板1：目标达标且表现稳定</w:t>
            </w:r>
          </w:p>
        </w:tc>
        <w:tc>
          <w:tcPr>
            <w:tcW w:type="dxa" w:w="2721"/>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达成值 ≥ 0.8，低分段占比低。</w:t>
            </w:r>
          </w:p>
        </w:tc>
        <w:tc>
          <w:tcPr>
            <w:tcW w:type="dxa" w:w="4989"/>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课程目标{课程目标编号}综合平均达成值为{综合平均达成值}，达到预设达标阈值{达标阈值}。从分布情况看，学生主要集中于{主要分布区间}区间，低分段学生人数较少，说明大多数学生能够较好地掌握该课程目标所要求的知识内容与能力要求。总体来看，该课程目标达成情况良好，教学效果较为稳定。</w:t>
            </w:r>
          </w:p>
        </w:tc>
      </w:tr>
      <w:tr>
        <w:tc>
          <w:tcPr>
            <w:tcW w:type="dxa" w:w="2041"/>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模板2：目标达标但存在分化</w:t>
            </w:r>
          </w:p>
        </w:tc>
        <w:tc>
          <w:tcPr>
            <w:tcW w:type="dxa" w:w="2721"/>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达成值 ≥ 0.7，但低分段占比偏高，或区间分布离散。</w:t>
            </w:r>
          </w:p>
        </w:tc>
        <w:tc>
          <w:tcPr>
            <w:tcW w:type="dxa" w:w="4989"/>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课程目标{课程目标编号}综合平均达成值为{综合平均达成值}，达到预设达标阈值{达标阈值}。从分布情况看，学生主要集中于{主要分布区间}区间，但仍有部分学生分布在{低分区间}区间，表明该课程目标虽然整体达标，但学生个体之间掌握程度存在一定差异。说明在该目标对应内容的讲授、训练和反馈方面仍需进一步加强，以提升整体均衡性。</w:t>
            </w:r>
          </w:p>
        </w:tc>
      </w:tr>
      <w:tr>
        <w:tc>
          <w:tcPr>
            <w:tcW w:type="dxa" w:w="2041"/>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模板3：目标未达标</w:t>
            </w:r>
          </w:p>
        </w:tc>
        <w:tc>
          <w:tcPr>
            <w:tcW w:type="dxa" w:w="2721"/>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达成值 &lt; 0.7。</w:t>
            </w:r>
          </w:p>
        </w:tc>
        <w:tc>
          <w:tcPr>
            <w:tcW w:type="dxa" w:w="4989"/>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课程目标{课程目标编号}综合平均达成值为{综合平均达成值}，未达到预设达标阈值{达标阈值}。从学生分布情况看，{低分区间}区间人数占比相对较高，说明学生在该课程目标对应知识、方法或实践能力方面掌握不足。结合教学实施情况分析，后续需针对该目标加强重点难点讲解、训练设计和过程指导，提升学生对相关内容的理解和应用能力。</w:t>
            </w:r>
          </w:p>
        </w:tc>
      </w:tr>
    </w:tbl>
    <w:p/>
    <w:p>
      <w:pPr>
        <w:pStyle w:val="Heading1"/>
        <w:spacing w:line="324" w:lineRule="auto" w:after="120"/>
      </w:pPr>
      <w:r>
        <w:rPr>
          <w:rFonts w:ascii="Noto Sans CJK SC" w:hAnsi="Noto Sans CJK SC" w:eastAsia="Noto Sans CJK SC"/>
        </w:rPr>
        <w:t>三、原因分析模板</w:t>
      </w:r>
    </w:p>
    <w:p>
      <w:pPr>
        <w:spacing w:line="324" w:lineRule="auto" w:after="120"/>
      </w:pPr>
      <w:r>
        <w:rPr>
          <w:rFonts w:ascii="Noto Sans CJK SC" w:hAnsi="Noto Sans CJK SC" w:eastAsia="Noto Sans CJK SC"/>
          <w:sz w:val="21"/>
        </w:rPr>
        <w:t>建议接在单个课程目标分析之后，用于解释薄弱原因。可按问题类型切换。</w:t>
      </w:r>
    </w:p>
    <w:tbl>
      <w:tblPr>
        <w:tblStyle w:val="TableGrid"/>
        <w:tblW w:type="auto" w:w="0"/>
        <w:jc w:val="center"/>
        <w:tblLayout w:type="fixed"/>
        <w:tblLook w:firstColumn="1" w:firstRow="1" w:lastColumn="0" w:lastRow="0" w:noHBand="0" w:noVBand="1" w:val="04A0"/>
      </w:tblPr>
      <w:tblGrid>
        <w:gridCol w:w="1871"/>
        <w:gridCol w:w="2665"/>
        <w:gridCol w:w="5216"/>
      </w:tblGrid>
      <w:tr>
        <w:tc>
          <w:tcPr>
            <w:tcW w:type="dxa" w:w="3211"/>
            <w:tcMar>
              <w:top w:w="90" w:type="dxa"/>
              <w:start w:w="110" w:type="dxa"/>
              <w:bottom w:w="90" w:type="dxa"/>
              <w:end w:w="110" w:type="dxa"/>
            </w:tcMar>
            <w:vAlign w:val="center"/>
            <w:shd w:fill="D9EAF7"/>
          </w:tcPr>
          <w:p>
            <w:pPr>
              <w:spacing w:before="20" w:after="20" w:line="276" w:lineRule="auto"/>
              <w:jc w:val="center"/>
            </w:pPr>
            <w:r>
              <w:rPr>
                <w:rFonts w:ascii="Noto Sans CJK SC" w:hAnsi="Noto Sans CJK SC" w:eastAsia="Noto Sans CJK SC"/>
                <w:b/>
                <w:sz w:val="21"/>
              </w:rPr>
              <w:t>问题类型</w:t>
            </w:r>
          </w:p>
        </w:tc>
        <w:tc>
          <w:tcPr>
            <w:tcW w:type="dxa" w:w="3211"/>
            <w:tcMar>
              <w:top w:w="90" w:type="dxa"/>
              <w:start w:w="110" w:type="dxa"/>
              <w:bottom w:w="90" w:type="dxa"/>
              <w:end w:w="110" w:type="dxa"/>
            </w:tcMar>
            <w:vAlign w:val="center"/>
            <w:shd w:fill="D9EAF7"/>
          </w:tcPr>
          <w:p>
            <w:pPr>
              <w:spacing w:before="20" w:after="20" w:line="276" w:lineRule="auto"/>
              <w:jc w:val="center"/>
            </w:pPr>
            <w:r>
              <w:rPr>
                <w:rFonts w:ascii="Noto Sans CJK SC" w:hAnsi="Noto Sans CJK SC" w:eastAsia="Noto Sans CJK SC"/>
                <w:b/>
                <w:sz w:val="21"/>
              </w:rPr>
              <w:t>适用场景</w:t>
            </w:r>
          </w:p>
        </w:tc>
        <w:tc>
          <w:tcPr>
            <w:tcW w:type="dxa" w:w="3211"/>
            <w:tcMar>
              <w:top w:w="90" w:type="dxa"/>
              <w:start w:w="110" w:type="dxa"/>
              <w:bottom w:w="90" w:type="dxa"/>
              <w:end w:w="110" w:type="dxa"/>
            </w:tcMar>
            <w:vAlign w:val="center"/>
            <w:shd w:fill="D9EAF7"/>
          </w:tcPr>
          <w:p>
            <w:pPr>
              <w:spacing w:before="20" w:after="20" w:line="276" w:lineRule="auto"/>
              <w:jc w:val="center"/>
            </w:pPr>
            <w:r>
              <w:rPr>
                <w:rFonts w:ascii="Noto Sans CJK SC" w:hAnsi="Noto Sans CJK SC" w:eastAsia="Noto Sans CJK SC"/>
                <w:b/>
                <w:sz w:val="21"/>
              </w:rPr>
              <w:t>模板正文</w:t>
            </w:r>
          </w:p>
        </w:tc>
      </w:tr>
      <w:tr>
        <w:tc>
          <w:tcPr>
            <w:tcW w:type="dxa" w:w="1871"/>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基础知识掌握不足</w:t>
            </w:r>
          </w:p>
        </w:tc>
        <w:tc>
          <w:tcPr>
            <w:tcW w:type="dxa" w:w="2665"/>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低分题集中在基础概念、原理、识别类内容。</w:t>
            </w:r>
          </w:p>
        </w:tc>
        <w:tc>
          <w:tcPr>
            <w:tcW w:type="dxa" w:w="5216"/>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分析原因，主要在于部分学生对相关基础知识、基本概念和基本原理理解不够扎实，在面对具体问题时不能准确识别关键条件并进行正确判断，说明教学过程中基础内容的强化程度仍有不足。</w:t>
            </w:r>
          </w:p>
        </w:tc>
      </w:tr>
      <w:tr>
        <w:tc>
          <w:tcPr>
            <w:tcW w:type="dxa" w:w="1871"/>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综合应用能力不足</w:t>
            </w:r>
          </w:p>
        </w:tc>
        <w:tc>
          <w:tcPr>
            <w:tcW w:type="dxa" w:w="2665"/>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低分题集中在综合题、分析题、方案设计题。</w:t>
            </w:r>
          </w:p>
        </w:tc>
        <w:tc>
          <w:tcPr>
            <w:tcW w:type="dxa" w:w="5216"/>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分析原因，主要在于部分学生虽然能够掌握单一知识点，但在综合分析、方案比较和工程问题推演方面能力较弱，面对综合性较强的问题时，难以将多个知识点进行有效整合，说明课程在综合应用能力训练方面仍需加强。</w:t>
            </w:r>
          </w:p>
        </w:tc>
      </w:tr>
      <w:tr>
        <w:tc>
          <w:tcPr>
            <w:tcW w:type="dxa" w:w="1871"/>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实践能力或实验能力不足</w:t>
            </w:r>
          </w:p>
        </w:tc>
        <w:tc>
          <w:tcPr>
            <w:tcW w:type="dxa" w:w="2665"/>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实验操作、实验报告、实践题表现偏弱。</w:t>
            </w:r>
          </w:p>
        </w:tc>
        <w:tc>
          <w:tcPr>
            <w:tcW w:type="dxa" w:w="5216"/>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分析原因，主要在于部分学生在实验操作、实验现象分析及实验结果归纳方面能力不足，对实践环节中的关键步骤、评价指标和分析方法掌握不够到位，说明实践教学和过程反馈仍需进一步优化。</w:t>
            </w:r>
          </w:p>
        </w:tc>
      </w:tr>
      <w:tr>
        <w:tc>
          <w:tcPr>
            <w:tcW w:type="dxa" w:w="1871"/>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学生分层明显</w:t>
            </w:r>
          </w:p>
        </w:tc>
        <w:tc>
          <w:tcPr>
            <w:tcW w:type="dxa" w:w="2665"/>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高分段和低分段同时较多，中间段较少。</w:t>
            </w:r>
          </w:p>
        </w:tc>
        <w:tc>
          <w:tcPr>
            <w:tcW w:type="dxa" w:w="5216"/>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分析原因，主要在于学生基础差异较大，学习投入程度和任务完成质量存在明显不同，导致学生在该课程目标上的达成情况分化较为明显。后续需加强分层指导和过程跟踪，提高整体达成的均衡性。</w:t>
            </w:r>
          </w:p>
        </w:tc>
      </w:tr>
    </w:tbl>
    <w:p/>
    <w:p>
      <w:pPr>
        <w:pStyle w:val="Heading1"/>
        <w:spacing w:line="324" w:lineRule="auto" w:after="120"/>
      </w:pPr>
      <w:r>
        <w:rPr>
          <w:rFonts w:ascii="Noto Sans CJK SC" w:hAnsi="Noto Sans CJK SC" w:eastAsia="Noto Sans CJK SC"/>
        </w:rPr>
        <w:t>四、近三年对比分析模板</w:t>
      </w:r>
    </w:p>
    <w:p>
      <w:pPr>
        <w:spacing w:line="324" w:lineRule="auto" w:after="120"/>
      </w:pPr>
      <w:r>
        <w:rPr>
          <w:rFonts w:ascii="Noto Sans CJK SC" w:hAnsi="Noto Sans CJK SC" w:eastAsia="Noto Sans CJK SC"/>
          <w:sz w:val="21"/>
        </w:rPr>
        <w:t>用于写“与前两届相比”或“近三年趋势”类分析。</w:t>
      </w:r>
    </w:p>
    <w:tbl>
      <w:tblPr>
        <w:tblStyle w:val="TableGrid"/>
        <w:tblW w:type="auto" w:w="0"/>
        <w:jc w:val="center"/>
        <w:tblLayout w:type="fixed"/>
        <w:tblLook w:firstColumn="1" w:firstRow="1" w:lastColumn="0" w:lastRow="0" w:noHBand="0" w:noVBand="1" w:val="04A0"/>
      </w:tblPr>
      <w:tblGrid>
        <w:gridCol w:w="1701"/>
        <w:gridCol w:w="2551"/>
        <w:gridCol w:w="5499"/>
      </w:tblGrid>
      <w:tr>
        <w:tc>
          <w:tcPr>
            <w:tcW w:type="dxa" w:w="3211"/>
            <w:tcMar>
              <w:top w:w="90" w:type="dxa"/>
              <w:start w:w="110" w:type="dxa"/>
              <w:bottom w:w="90" w:type="dxa"/>
              <w:end w:w="110" w:type="dxa"/>
            </w:tcMar>
            <w:vAlign w:val="center"/>
            <w:shd w:fill="D9EAF7"/>
          </w:tcPr>
          <w:p>
            <w:pPr>
              <w:spacing w:before="20" w:after="20" w:line="276" w:lineRule="auto"/>
              <w:jc w:val="center"/>
            </w:pPr>
            <w:r>
              <w:rPr>
                <w:rFonts w:ascii="Noto Sans CJK SC" w:hAnsi="Noto Sans CJK SC" w:eastAsia="Noto Sans CJK SC"/>
                <w:b/>
                <w:sz w:val="21"/>
              </w:rPr>
              <w:t>模板名称</w:t>
            </w:r>
          </w:p>
        </w:tc>
        <w:tc>
          <w:tcPr>
            <w:tcW w:type="dxa" w:w="3211"/>
            <w:tcMar>
              <w:top w:w="90" w:type="dxa"/>
              <w:start w:w="110" w:type="dxa"/>
              <w:bottom w:w="90" w:type="dxa"/>
              <w:end w:w="110" w:type="dxa"/>
            </w:tcMar>
            <w:vAlign w:val="center"/>
            <w:shd w:fill="D9EAF7"/>
          </w:tcPr>
          <w:p>
            <w:pPr>
              <w:spacing w:before="20" w:after="20" w:line="276" w:lineRule="auto"/>
              <w:jc w:val="center"/>
            </w:pPr>
            <w:r>
              <w:rPr>
                <w:rFonts w:ascii="Noto Sans CJK SC" w:hAnsi="Noto Sans CJK SC" w:eastAsia="Noto Sans CJK SC"/>
                <w:b/>
                <w:sz w:val="21"/>
              </w:rPr>
              <w:t>适用条件</w:t>
            </w:r>
          </w:p>
        </w:tc>
        <w:tc>
          <w:tcPr>
            <w:tcW w:type="dxa" w:w="3211"/>
            <w:tcMar>
              <w:top w:w="90" w:type="dxa"/>
              <w:start w:w="110" w:type="dxa"/>
              <w:bottom w:w="90" w:type="dxa"/>
              <w:end w:w="110" w:type="dxa"/>
            </w:tcMar>
            <w:vAlign w:val="center"/>
            <w:shd w:fill="D9EAF7"/>
          </w:tcPr>
          <w:p>
            <w:pPr>
              <w:spacing w:before="20" w:after="20" w:line="276" w:lineRule="auto"/>
              <w:jc w:val="center"/>
            </w:pPr>
            <w:r>
              <w:rPr>
                <w:rFonts w:ascii="Noto Sans CJK SC" w:hAnsi="Noto Sans CJK SC" w:eastAsia="Noto Sans CJK SC"/>
                <w:b/>
                <w:sz w:val="21"/>
              </w:rPr>
              <w:t>模板正文</w:t>
            </w:r>
          </w:p>
        </w:tc>
      </w:tr>
      <w:tr>
        <w:tc>
          <w:tcPr>
            <w:tcW w:type="dxa" w:w="1701"/>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模板A：本年度提升</w:t>
            </w:r>
          </w:p>
        </w:tc>
        <w:tc>
          <w:tcPr>
            <w:tcW w:type="dxa" w:w="2551"/>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本年度达成值高于上一年度。</w:t>
            </w:r>
          </w:p>
        </w:tc>
        <w:tc>
          <w:tcPr>
            <w:tcW w:type="dxa" w:w="5499"/>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与前两届学生相比，本年度课程目标{课程目标编号}达成值为{本年度值}，高于{上一届年级}的{上一届值}和{上上届年级}的{上上届值}，表明本年度在该课程目标对应内容的教学组织、训练安排和过程指导方面取得了一定成效，学生整体掌握情况有所提升。</w:t>
            </w:r>
          </w:p>
        </w:tc>
      </w:tr>
      <w:tr>
        <w:tc>
          <w:tcPr>
            <w:tcW w:type="dxa" w:w="1701"/>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模板B：本年度基本持平</w:t>
            </w:r>
          </w:p>
        </w:tc>
        <w:tc>
          <w:tcPr>
            <w:tcW w:type="dxa" w:w="2551"/>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与上一年度差异很小。</w:t>
            </w:r>
          </w:p>
        </w:tc>
        <w:tc>
          <w:tcPr>
            <w:tcW w:type="dxa" w:w="5499"/>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与前两届学生相比，本年度课程目标{课程目标编号}达成值为{本年度值}，与{上一届年级}的{上一届值}基本持平，整体波动较小，说明该课程目标的教学实施效果总体较为稳定，但仍需结合具体分布情况持续优化教学细节。</w:t>
            </w:r>
          </w:p>
        </w:tc>
      </w:tr>
      <w:tr>
        <w:tc>
          <w:tcPr>
            <w:tcW w:type="dxa" w:w="1701"/>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模板C：本年度下降</w:t>
            </w:r>
          </w:p>
        </w:tc>
        <w:tc>
          <w:tcPr>
            <w:tcW w:type="dxa" w:w="2551"/>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本年度低于上一年度，或下降明显。</w:t>
            </w:r>
          </w:p>
        </w:tc>
        <w:tc>
          <w:tcPr>
            <w:tcW w:type="dxa" w:w="5499"/>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与前两届学生相比，本年度课程目标{课程目标编号}达成值为{本年度值}，低于{上一届年级}的{上一届值}，说明该课程目标本年度达成情况有所下降。结合具体分布和试题表现分析，后续需重点关注相关知识点讲解深度、训练方式以及考核难度设置，进一步提升学生达成水平。</w:t>
            </w:r>
          </w:p>
        </w:tc>
      </w:tr>
    </w:tbl>
    <w:p/>
    <w:p>
      <w:pPr>
        <w:pStyle w:val="Heading1"/>
        <w:spacing w:line="324" w:lineRule="auto" w:after="120"/>
      </w:pPr>
      <w:r>
        <w:rPr>
          <w:rFonts w:ascii="Noto Sans CJK SC" w:hAnsi="Noto Sans CJK SC" w:eastAsia="Noto Sans CJK SC"/>
        </w:rPr>
        <w:t>五、持续改进措施模板</w:t>
      </w:r>
    </w:p>
    <w:p>
      <w:pPr>
        <w:spacing w:line="324" w:lineRule="auto" w:after="120"/>
      </w:pPr>
      <w:r>
        <w:rPr>
          <w:rFonts w:ascii="Noto Sans CJK SC" w:hAnsi="Noto Sans CJK SC" w:eastAsia="Noto Sans CJK SC"/>
          <w:sz w:val="21"/>
        </w:rPr>
        <w:t>建议按“问题类型 → 对应措施”的方式使用，先判断问题，再选择建议模板。</w:t>
      </w:r>
    </w:p>
    <w:tbl>
      <w:tblPr>
        <w:tblStyle w:val="TableGrid"/>
        <w:tblW w:type="auto" w:w="0"/>
        <w:jc w:val="center"/>
        <w:tblLayout w:type="fixed"/>
        <w:tblLook w:firstColumn="1" w:firstRow="1" w:lastColumn="0" w:lastRow="0" w:noHBand="0" w:noVBand="1" w:val="04A0"/>
      </w:tblPr>
      <w:tblGrid>
        <w:gridCol w:w="2891"/>
        <w:gridCol w:w="6860"/>
      </w:tblGrid>
      <w:tr>
        <w:tc>
          <w:tcPr>
            <w:tcW w:type="dxa" w:w="4816"/>
            <w:tcMar>
              <w:top w:w="90" w:type="dxa"/>
              <w:start w:w="110" w:type="dxa"/>
              <w:bottom w:w="90" w:type="dxa"/>
              <w:end w:w="110" w:type="dxa"/>
            </w:tcMar>
            <w:vAlign w:val="center"/>
            <w:shd w:fill="D9EAF7"/>
          </w:tcPr>
          <w:p>
            <w:pPr>
              <w:spacing w:before="20" w:after="20" w:line="276" w:lineRule="auto"/>
              <w:jc w:val="center"/>
            </w:pPr>
            <w:r>
              <w:rPr>
                <w:rFonts w:ascii="Noto Sans CJK SC" w:hAnsi="Noto Sans CJK SC" w:eastAsia="Noto Sans CJK SC"/>
                <w:b/>
                <w:sz w:val="21"/>
              </w:rPr>
              <w:t>问题类型</w:t>
            </w:r>
          </w:p>
        </w:tc>
        <w:tc>
          <w:tcPr>
            <w:tcW w:type="dxa" w:w="4816"/>
            <w:tcMar>
              <w:top w:w="90" w:type="dxa"/>
              <w:start w:w="110" w:type="dxa"/>
              <w:bottom w:w="90" w:type="dxa"/>
              <w:end w:w="110" w:type="dxa"/>
            </w:tcMar>
            <w:vAlign w:val="center"/>
            <w:shd w:fill="D9EAF7"/>
          </w:tcPr>
          <w:p>
            <w:pPr>
              <w:spacing w:before="20" w:after="20" w:line="276" w:lineRule="auto"/>
              <w:jc w:val="center"/>
            </w:pPr>
            <w:r>
              <w:rPr>
                <w:rFonts w:ascii="Noto Sans CJK SC" w:hAnsi="Noto Sans CJK SC" w:eastAsia="Noto Sans CJK SC"/>
                <w:b/>
                <w:sz w:val="21"/>
              </w:rPr>
              <w:t>改进建议模板</w:t>
            </w:r>
          </w:p>
        </w:tc>
      </w:tr>
      <w:tr>
        <w:tc>
          <w:tcPr>
            <w:tcW w:type="dxa" w:w="2891"/>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基础知识薄弱</w:t>
            </w:r>
          </w:p>
        </w:tc>
        <w:tc>
          <w:tcPr>
            <w:tcW w:type="dxa" w:w="6860"/>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后续教学中，应进一步强化基础知识、基本概念和基本原理的讲解，突出重点与难点内容，通过课堂提问、随堂练习、作业反馈等方式帮助学生夯实知识基础，提高其对核心内容的理解和掌握程度。</w:t>
            </w:r>
          </w:p>
        </w:tc>
      </w:tr>
      <w:tr>
        <w:tc>
          <w:tcPr>
            <w:tcW w:type="dxa" w:w="2891"/>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综合应用能力不足</w:t>
            </w:r>
          </w:p>
        </w:tc>
        <w:tc>
          <w:tcPr>
            <w:tcW w:type="dxa" w:w="6860"/>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后续教学中，应增加综合性案例分析和工程问题训练，引导学生将所学知识用于复杂问题分析和方案比较，逐步提升其综合分析能力、知识整合能力和工程应用能力。</w:t>
            </w:r>
          </w:p>
        </w:tc>
      </w:tr>
      <w:tr>
        <w:tc>
          <w:tcPr>
            <w:tcW w:type="dxa" w:w="2891"/>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实验与实践能力不足</w:t>
            </w:r>
          </w:p>
        </w:tc>
        <w:tc>
          <w:tcPr>
            <w:tcW w:type="dxa" w:w="6860"/>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后续教学中，应进一步加强实验与实践环节指导，优化实验任务设计与评价方式，增加关键步骤讲解和过程反馈频次，提升学生的实验操作能力、数据分析能力及结果总结能力。</w:t>
            </w:r>
          </w:p>
        </w:tc>
      </w:tr>
      <w:tr>
        <w:tc>
          <w:tcPr>
            <w:tcW w:type="dxa" w:w="2891"/>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学生分化明显</w:t>
            </w:r>
          </w:p>
        </w:tc>
        <w:tc>
          <w:tcPr>
            <w:tcW w:type="dxa" w:w="6860"/>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后续教学中，应加强分层指导和个性化帮扶，对基础较弱学生进行针对性辅导，同时通过讨论交流、任务驱动和阶段反馈提升整体学习效果，缩小学生之间的达成差异。</w:t>
            </w:r>
          </w:p>
        </w:tc>
      </w:tr>
      <w:tr>
        <w:tc>
          <w:tcPr>
            <w:tcW w:type="dxa" w:w="2891"/>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期末试题综合度偏高</w:t>
            </w:r>
          </w:p>
        </w:tc>
        <w:tc>
          <w:tcPr>
            <w:tcW w:type="dxa" w:w="6860"/>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后续考核中，应进一步优化试题结构和难度梯度，在保证课程目标支撑关系合理的基础上，适当控制综合性较强题目的难度与数量，使考核更能客观反映学生的真实掌握情况。</w:t>
            </w:r>
          </w:p>
        </w:tc>
      </w:tr>
    </w:tbl>
    <w:p/>
    <w:p>
      <w:pPr>
        <w:pStyle w:val="Heading1"/>
        <w:spacing w:line="324" w:lineRule="auto" w:after="120"/>
      </w:pPr>
      <w:r>
        <w:rPr>
          <w:rFonts w:ascii="Noto Sans CJK SC" w:hAnsi="Noto Sans CJK SC" w:eastAsia="Noto Sans CJK SC"/>
        </w:rPr>
        <w:t>六、推荐拼接顺序</w:t>
      </w:r>
    </w:p>
    <w:p>
      <w:pPr>
        <w:spacing w:line="324" w:lineRule="auto" w:after="120"/>
      </w:pPr>
      <w:r>
        <w:rPr>
          <w:rFonts w:ascii="Noto Sans CJK SC" w:hAnsi="Noto Sans CJK SC" w:eastAsia="Noto Sans CJK SC"/>
          <w:sz w:val="21"/>
        </w:rPr>
        <w:t>建议正文生成时按以下顺序组合：</w:t>
      </w:r>
    </w:p>
    <w:p>
      <w:pPr>
        <w:pStyle w:val="ListBullet"/>
        <w:spacing w:after="60"/>
      </w:pPr>
      <w:r>
        <w:rPr>
          <w:rFonts w:ascii="Noto Sans CJK SC" w:hAnsi="Noto Sans CJK SC" w:eastAsia="Noto Sans CJK SC"/>
          <w:sz w:val="21"/>
        </w:rPr>
        <w:t>1. 先用“总体分析模板”生成本课程整体段落。</w:t>
      </w:r>
    </w:p>
    <w:p>
      <w:pPr>
        <w:pStyle w:val="ListBullet"/>
        <w:spacing w:after="60"/>
      </w:pPr>
      <w:r>
        <w:rPr>
          <w:rFonts w:ascii="Noto Sans CJK SC" w:hAnsi="Noto Sans CJK SC" w:eastAsia="Noto Sans CJK SC"/>
          <w:sz w:val="21"/>
        </w:rPr>
        <w:t>2. 对每个课程目标分别使用“单个课程目标分析模板”。</w:t>
      </w:r>
    </w:p>
    <w:p>
      <w:pPr>
        <w:pStyle w:val="ListBullet"/>
        <w:spacing w:after="60"/>
      </w:pPr>
      <w:r>
        <w:rPr>
          <w:rFonts w:ascii="Noto Sans CJK SC" w:hAnsi="Noto Sans CJK SC" w:eastAsia="Noto Sans CJK SC"/>
          <w:sz w:val="21"/>
        </w:rPr>
        <w:t>3. 如需解释原因，再追加“原因分析模板”。</w:t>
      </w:r>
    </w:p>
    <w:p>
      <w:pPr>
        <w:pStyle w:val="ListBullet"/>
        <w:spacing w:after="60"/>
      </w:pPr>
      <w:r>
        <w:rPr>
          <w:rFonts w:ascii="Noto Sans CJK SC" w:hAnsi="Noto Sans CJK SC" w:eastAsia="Noto Sans CJK SC"/>
          <w:sz w:val="21"/>
        </w:rPr>
        <w:t>4. 如需体现趋势，再追加“近三年对比分析模板”。</w:t>
      </w:r>
    </w:p>
    <w:p>
      <w:pPr>
        <w:pStyle w:val="ListBullet"/>
        <w:spacing w:after="60"/>
      </w:pPr>
      <w:r>
        <w:rPr>
          <w:rFonts w:ascii="Noto Sans CJK SC" w:hAnsi="Noto Sans CJK SC" w:eastAsia="Noto Sans CJK SC"/>
          <w:sz w:val="21"/>
        </w:rPr>
        <w:t>5. 最后按问题类型选择“持续改进措施模板”。</w:t>
      </w:r>
    </w:p>
    <w:p>
      <w:pPr>
        <w:pStyle w:val="Heading1"/>
        <w:spacing w:line="324" w:lineRule="auto" w:after="120"/>
      </w:pPr>
      <w:r>
        <w:rPr>
          <w:rFonts w:ascii="Noto Sans CJK SC" w:hAnsi="Noto Sans CJK SC" w:eastAsia="Noto Sans CJK SC"/>
        </w:rPr>
        <w:t>七、变量字段建议清单</w:t>
      </w:r>
    </w:p>
    <w:tbl>
      <w:tblPr>
        <w:tblStyle w:val="TableGrid"/>
        <w:tblW w:type="auto" w:w="0"/>
        <w:jc w:val="center"/>
        <w:tblLayout w:type="fixed"/>
        <w:tblLook w:firstColumn="1" w:firstRow="1" w:lastColumn="0" w:lastRow="0" w:noHBand="0" w:noVBand="1" w:val="04A0"/>
      </w:tblPr>
      <w:tblGrid>
        <w:gridCol w:w="2948"/>
        <w:gridCol w:w="6803"/>
      </w:tblGrid>
      <w:tr>
        <w:tc>
          <w:tcPr>
            <w:tcW w:type="dxa" w:w="4816"/>
            <w:tcMar>
              <w:top w:w="90" w:type="dxa"/>
              <w:start w:w="110" w:type="dxa"/>
              <w:bottom w:w="90" w:type="dxa"/>
              <w:end w:w="110" w:type="dxa"/>
            </w:tcMar>
            <w:vAlign w:val="center"/>
            <w:shd w:fill="E8F1E8"/>
          </w:tcPr>
          <w:p>
            <w:pPr>
              <w:spacing w:before="20" w:after="20" w:line="276" w:lineRule="auto"/>
              <w:jc w:val="center"/>
            </w:pPr>
            <w:r>
              <w:rPr>
                <w:rFonts w:ascii="Noto Sans CJK SC" w:hAnsi="Noto Sans CJK SC" w:eastAsia="Noto Sans CJK SC"/>
                <w:b/>
                <w:sz w:val="21"/>
              </w:rPr>
              <w:t>变量字段</w:t>
            </w:r>
          </w:p>
        </w:tc>
        <w:tc>
          <w:tcPr>
            <w:tcW w:type="dxa" w:w="4816"/>
            <w:tcMar>
              <w:top w:w="90" w:type="dxa"/>
              <w:start w:w="110" w:type="dxa"/>
              <w:bottom w:w="90" w:type="dxa"/>
              <w:end w:w="110" w:type="dxa"/>
            </w:tcMar>
            <w:vAlign w:val="center"/>
            <w:shd w:fill="E8F1E8"/>
          </w:tcPr>
          <w:p>
            <w:pPr>
              <w:spacing w:before="20" w:after="20" w:line="276" w:lineRule="auto"/>
              <w:jc w:val="center"/>
            </w:pPr>
            <w:r>
              <w:rPr>
                <w:rFonts w:ascii="Noto Sans CJK SC" w:hAnsi="Noto Sans CJK SC" w:eastAsia="Noto Sans CJK SC"/>
                <w:b/>
                <w:sz w:val="21"/>
              </w:rPr>
              <w:t>说明</w:t>
            </w:r>
          </w:p>
        </w:tc>
      </w:tr>
      <w:tr>
        <w:tc>
          <w:tcPr>
            <w:tcW w:type="dxa" w:w="2948"/>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课程目标数量</w:t>
            </w:r>
          </w:p>
        </w:tc>
        <w:tc>
          <w:tcPr>
            <w:tcW w:type="dxa" w:w="6803"/>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如 2、3。</w:t>
            </w:r>
          </w:p>
        </w:tc>
      </w:tr>
      <w:tr>
        <w:tc>
          <w:tcPr>
            <w:tcW w:type="dxa" w:w="2948"/>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参与人数</w:t>
            </w:r>
          </w:p>
        </w:tc>
        <w:tc>
          <w:tcPr>
            <w:tcW w:type="dxa" w:w="6803"/>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参与本轮达成度评价的学生人数。</w:t>
            </w:r>
          </w:p>
        </w:tc>
      </w:tr>
      <w:tr>
        <w:tc>
          <w:tcPr>
            <w:tcW w:type="dxa" w:w="2948"/>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达标阈值</w:t>
            </w:r>
          </w:p>
        </w:tc>
        <w:tc>
          <w:tcPr>
            <w:tcW w:type="dxa" w:w="6803"/>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常用 0.70，可按学校口径调整。</w:t>
            </w:r>
          </w:p>
        </w:tc>
      </w:tr>
      <w:tr>
        <w:tc>
          <w:tcPr>
            <w:tcW w:type="dxa" w:w="2948"/>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综合平均达成值</w:t>
            </w:r>
          </w:p>
        </w:tc>
        <w:tc>
          <w:tcPr>
            <w:tcW w:type="dxa" w:w="6803"/>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对应课程目标的最终综合达成值。</w:t>
            </w:r>
          </w:p>
        </w:tc>
      </w:tr>
      <w:tr>
        <w:tc>
          <w:tcPr>
            <w:tcW w:type="dxa" w:w="2948"/>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主要分布区间</w:t>
            </w:r>
          </w:p>
        </w:tc>
        <w:tc>
          <w:tcPr>
            <w:tcW w:type="dxa" w:w="6803"/>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如 0.7-0.8、0.8-0.9。</w:t>
            </w:r>
          </w:p>
        </w:tc>
      </w:tr>
      <w:tr>
        <w:tc>
          <w:tcPr>
            <w:tcW w:type="dxa" w:w="2948"/>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低分区间</w:t>
            </w:r>
          </w:p>
        </w:tc>
        <w:tc>
          <w:tcPr>
            <w:tcW w:type="dxa" w:w="6803"/>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如 0.0-0.6、0.6-0.7。</w:t>
            </w:r>
          </w:p>
        </w:tc>
      </w:tr>
      <w:tr>
        <w:tc>
          <w:tcPr>
            <w:tcW w:type="dxa" w:w="2948"/>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未达标目标列表</w:t>
            </w:r>
          </w:p>
        </w:tc>
        <w:tc>
          <w:tcPr>
            <w:tcW w:type="dxa" w:w="6803"/>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如“课程目标2”。</w:t>
            </w:r>
          </w:p>
        </w:tc>
      </w:tr>
      <w:tr>
        <w:tc>
          <w:tcPr>
            <w:tcW w:type="dxa" w:w="2948"/>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本年度值/上一届值/上上届值</w:t>
            </w:r>
          </w:p>
        </w:tc>
        <w:tc>
          <w:tcPr>
            <w:tcW w:type="dxa" w:w="6803"/>
            <w:tcMar>
              <w:top w:w="90" w:type="dxa"/>
              <w:start w:w="110" w:type="dxa"/>
              <w:bottom w:w="90" w:type="dxa"/>
              <w:end w:w="110" w:type="dxa"/>
            </w:tcMar>
            <w:vAlign w:val="center"/>
          </w:tcPr>
          <w:p>
            <w:pPr>
              <w:spacing w:before="20" w:after="20" w:line="276" w:lineRule="auto"/>
            </w:pPr>
            <w:r>
              <w:rPr>
                <w:rFonts w:ascii="Noto Sans CJK SC" w:hAnsi="Noto Sans CJK SC" w:eastAsia="Noto Sans CJK SC"/>
                <w:sz w:val="21"/>
              </w:rPr>
              <w:t>历年课程目标对比表中的结果。</w:t>
            </w:r>
          </w:p>
        </w:tc>
      </w:tr>
    </w:tbl>
    <w:p/>
    <w:p>
      <w:pPr>
        <w:spacing w:before="80" w:after="0"/>
      </w:pPr>
      <w:r>
        <w:rPr>
          <w:rFonts w:ascii="Noto Sans CJK SC" w:hAnsi="Noto Sans CJK SC" w:eastAsia="Noto Sans CJK SC"/>
          <w:b/>
        </w:rPr>
        <w:t>备注：</w:t>
      </w:r>
      <w:r>
        <w:rPr>
          <w:rFonts w:ascii="Noto Sans CJK SC" w:hAnsi="Noto Sans CJK SC" w:eastAsia="Noto Sans CJK SC"/>
        </w:rPr>
        <w:t xml:space="preserve"> 本模板库用于生成“较规范、可复用”的报告草稿，不替代教师对课程实际问题的判断。涉及学生反馈、教学特殊情况、学院本年度具体要求等内容，建议在自动生成后再做人工修订。</w:t>
      </w:r>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