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성균관대학교 의과대학 예방의학교실 / 정해관 교수님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정해관 교수님. 학부 캡스톤 연구에서 관측된 지역별 성능 격차의 원인 분석을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지역별 성능 격차 해석 — 세종·부산 등에서 선행성이 높고, 충북·대구·경북에서 recall이 낮은 현상에 대해 보건 인프라·인구 밀도·도농 구조 등 데이터 외적 요인 측면에서의 역학적 해석 방향을 여쭙고자 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도농 격차 역설 — 인구가 적은 세종·제주가 오히려 선행성이 높게 나오는 현상이 역학적으로 어떻게 해석될 수 있는지, 소규모 인구에서 신호 대비 잡음비(SNR)가 달라지는 기제에 대한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임상 데이터 비교 가능성 — 삼성서울병원 ILI 내원 데이터가 서울 L1/L3 신호와 시간적으로 어떻게 선후 관계를 갖는지 내부 경험 측면에서 간략한 의견을 주실 수 있으시다면 큰 참고가 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