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sz w:val="32"/>
        </w:rPr>
        <w:t>학부 캡스톤 연구 자문 요청서</w:t>
      </w:r>
    </w:p>
    <w:p>
      <w:pPr>
        <w:spacing w:after="40"/>
      </w:pPr>
      <w: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/>
          <w:b/>
          <w:sz w:val="22"/>
        </w:rPr>
        <w:t xml:space="preserve">수신: </w:t>
      </w:r>
      <w:r>
        <w:rPr>
          <w:rFonts w:ascii="맑은 고딕" w:hAnsi="맑은 고딕"/>
          <w:b w:val="0"/>
          <w:sz w:val="22"/>
        </w:rPr>
        <w:t>한국환경연구원 물환경연구실 / 강성원 박사님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안녕하십니까, 강성원 박사님. 학부 캡스톤 연구에서 사용하는 하수 바이러스 신호(L2)의 지역별 품질 차이 원인 분석을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1.  </w:t>
      </w:r>
      <w:r>
        <w:rPr>
          <w:rFonts w:ascii="맑은 고딕" w:hAnsi="맑은 고딕"/>
          <w:b w:val="0"/>
          <w:sz w:val="22"/>
        </w:rPr>
        <w:t>하수처리 방식별 농도 차이 — 활성슬러지·막여과 등 처리 방식과 채취 지점에 따라 바이러스 copies/mL 측정값이 달라지는 정도, 그리고 지역별 처리 방식 차이가 충북·대구·경북 약신호의 원인일 가능성을 여쭙고자 합니다.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2.  </w:t>
      </w:r>
      <w:r>
        <w:rPr>
          <w:rFonts w:ascii="맑은 고딕" w:hAnsi="맑은 고딕"/>
          <w:b w:val="0"/>
          <w:sz w:val="22"/>
        </w:rPr>
        <w:t>강수량 희석 효과 — 강수량이 많은 시기에 copies/mL가 희석되어 L2 신호가 낮게 나타날 수 있는지, 기상 데이터(AUX)를 활용한 희석 보정 방법을 학부 PoC 수준에서 적용 가능한지 의견을 청합니다.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3.  </w:t>
      </w:r>
      <w:r>
        <w:rPr>
          <w:rFonts w:ascii="맑은 고딕" w:hAnsi="맑은 고딕"/>
          <w:b w:val="0"/>
          <w:sz w:val="22"/>
        </w:rPr>
        <w:t>공개 데이터 접근 — 한국환경연구원이 보유한 지역별 하수처리장 현황·처리 인구 비율 데이터 중 학술 목적으로 공개 접근 가능한 자료가 있는지, 있다면 접근 경로를 안내해 주시면 감사하겠습니다.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