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sz w:val="32"/>
        </w:rPr>
        <w:t>학부 캡스톤 연구 자문 요청서</w:t>
      </w:r>
    </w:p>
    <w:p>
      <w:pPr>
        <w:spacing w:after="40"/>
      </w:pPr>
      <w: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/>
          <w:b/>
          <w:sz w:val="22"/>
        </w:rPr>
        <w:t xml:space="preserve">수신: </w:t>
      </w:r>
      <w:r>
        <w:rPr>
          <w:rFonts w:ascii="맑은 고딕" w:hAnsi="맑은 고딕"/>
          <w:b w:val="0"/>
          <w:sz w:val="22"/>
        </w:rPr>
        <w:t>KAIST 바이오및뇌공학과 / 이도헌 교수님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안녕하십니까, 이도헌 교수님. 학부 캡스톤 연구에서 적용한 Autoencoder 이상탐지 및 TFT 시계열 예측 모델의 설계 적절성 검토를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1.  </w:t>
      </w:r>
      <w:r>
        <w:rPr>
          <w:rFonts w:ascii="맑은 고딕" w:hAnsi="맑은 고딕"/>
          <w:b w:val="0"/>
          <w:sz w:val="22"/>
        </w:rPr>
        <w:t>Autoencoder 임계값 설계 — 재구성 오차 99th percentile을 임계값으로 사용하는 방식의 적절성과, 시즌마다 임계값을 재보정해야 하는지 여부를 바이오 AI 관점에서 의견을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2.  </w:t>
      </w:r>
      <w:r>
        <w:rPr>
          <w:rFonts w:ascii="맑은 고딕" w:hAnsi="맑은 고딕"/>
          <w:b w:val="0"/>
          <w:sz w:val="22"/>
        </w:rPr>
        <w:t>TFT 데이터 요구량 — 26주 데이터로 TFT가 발산하는 현상이 관측되었는데, 안정적 수렴을 위한 최소 주 수(또는 시즌 수) 경험적 기준과 학부 PoC 단계에서 TFT 결과를 어떻게 해석·보고해야 하는지 권고를 청합니다.</w:t>
      </w:r>
    </w:p>
    <w:p>
      <w:pPr>
        <w:spacing w:after="120"/>
        <w:ind w:left="283"/>
      </w:pPr>
      <w:r>
        <w:rPr>
          <w:rFonts w:ascii="맑은 고딕" w:hAnsi="맑은 고딕"/>
          <w:b/>
          <w:sz w:val="22"/>
        </w:rPr>
        <w:t xml:space="preserve">3.  </w:t>
      </w:r>
      <w:r>
        <w:rPr>
          <w:rFonts w:ascii="맑은 고딕" w:hAnsi="맑은 고딕"/>
          <w:b w:val="0"/>
          <w:sz w:val="22"/>
        </w:rPr>
        <w:t>최신 시계열 모델 비교 — TFT 대신 PatchTST·TimeMixer 등 최신 시계열 모델 적용 가능성과, 주간 26~52주 스케일 데이터에서 어느 모델이 더 적합한지 간략한 의견을 주시면 향후 연구 방향 결정에 참고하겠습니다.</w:t>
      </w:r>
    </w:p>
    <w:p>
      <w:pPr>
        <w:spacing w:before="120" w:after="80"/>
      </w:pPr>
      <w:r>
        <w:rPr>
          <w:rFonts w:ascii="맑은 고딕" w:hAnsi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