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/>
          <w:b/>
          <w:sz w:val="32"/>
        </w:rPr>
        <w:t>학부 캡스톤 연구 자문 요청서</w:t>
      </w:r>
    </w:p>
    <w:p>
      <w:pPr>
        <w:spacing w:after="40"/>
      </w:pPr>
      <w: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/>
          <w:b/>
          <w:sz w:val="22"/>
        </w:rPr>
        <w:t xml:space="preserve">수신: </w:t>
      </w:r>
      <w:r>
        <w:rPr>
          <w:rFonts w:ascii="맑은 고딕" w:hAnsi="맑은 고딕"/>
          <w:b w:val="0"/>
          <w:sz w:val="22"/>
        </w:rPr>
        <w:t>디지털헬스케어파트너스 / 최윤섭 대표님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안녕하십니까, 최윤섭 대표님. 학부 캡스톤 연구 결과물의 B2G 사업화 가능성 및 규제 환경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1.  </w:t>
      </w:r>
      <w:r>
        <w:rPr>
          <w:rFonts w:ascii="맑은 고딕" w:hAnsi="맑은 고딕"/>
          <w:b w:val="0"/>
          <w:sz w:val="22"/>
        </w:rPr>
        <w:t>B2G 시장 진입 현실적 경로 — 질병관리청·지자체 대상 감염병 AI 납품 시 조달청 혁신제품 지정·수의계약·공개입찰 중 학부 졸업 후 팀이 현실적으로 접근 가능한 경로와 첫 단계를 알려주시면 감사하겠습니다.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2.  </w:t>
      </w:r>
      <w:r>
        <w:rPr>
          <w:rFonts w:ascii="맑은 고딕" w:hAnsi="맑은 고딕"/>
          <w:b w:val="0"/>
          <w:sz w:val="22"/>
        </w:rPr>
        <w:t>SaMD 규제 해당 여부 — 공중보건 경보 시스템이 식약처 소프트웨어 의료기기 규제 대상인지, 아니라면 어떤 규제 프레임을 준비해야 하는지 실무 관점에서 의견을 청합니다.</w:t>
      </w:r>
    </w:p>
    <w:p>
      <w:pPr>
        <w:spacing w:after="120"/>
        <w:ind w:left="283"/>
      </w:pPr>
      <w:r>
        <w:rPr>
          <w:rFonts w:ascii="맑은 고딕" w:hAnsi="맑은 고딕"/>
          <w:b/>
          <w:sz w:val="22"/>
        </w:rPr>
        <w:t xml:space="preserve">3.  </w:t>
      </w:r>
      <w:r>
        <w:rPr>
          <w:rFonts w:ascii="맑은 고딕" w:hAnsi="맑은 고딕"/>
          <w:b w:val="0"/>
          <w:sz w:val="22"/>
        </w:rPr>
        <w:t>스타트업 전환 조언 — 캡스톤 팀이 졸업 후 스핀오프 스타트업으로 전환할 때 초기 활용 가능한 정부 지원(TIPS·창업진흥원·Pre-TIPS 등) 프로그램과 성공 사례를 간략히 공유해 주시면 큰 도움이 되겠습니다.</w:t>
      </w:r>
    </w:p>
    <w:p>
      <w:pPr>
        <w:spacing w:before="120" w:after="80"/>
      </w:pPr>
      <w:r>
        <w:rPr>
          <w:rFonts w:ascii="맑은 고딕" w:hAnsi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