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sz w:val="32"/>
        </w:rPr>
        <w:t>학부 캡스톤 연구 자문 요청서</w:t>
      </w:r>
    </w:p>
    <w:p>
      <w:pPr>
        <w:spacing w:after="40"/>
      </w:pPr>
      <w: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/>
          <w:b/>
          <w:sz w:val="22"/>
        </w:rPr>
        <w:t xml:space="preserve">수신: </w:t>
      </w:r>
      <w:r>
        <w:rPr>
          <w:rFonts w:ascii="맑은 고딕" w:hAnsi="맑은 고딕"/>
          <w:b w:val="0"/>
          <w:sz w:val="22"/>
        </w:rPr>
        <w:t>연세대학교 보건대학원 / 이주연 교수님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안녕하십니까, 이주연 교수님. 학부 캡스톤 연구의 Phase 3 HIRA OpenAPI 연동 계획 및 보건정보 표준 적합성 검토를 위해 정중히 자문을 요청드리고자 서한 올립니다.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1.  </w:t>
      </w:r>
      <w:r>
        <w:rPr>
          <w:rFonts w:ascii="맑은 고딕" w:hAnsi="맑은 고딕"/>
          <w:b w:val="0"/>
          <w:sz w:val="22"/>
        </w:rPr>
        <w:t>HIRA OpenAPI 접근 절차 — 건강보험심사평가원 OpenAPI에서 지역별 감기약 청구 건수 또는 처방 관련 집계 데이터에 학술 목적으로 접근하는 실제 절차와 학부 연구팀의 신청 가능 여부를 알려주시면 감사하겠습니다.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2.  </w:t>
      </w:r>
      <w:r>
        <w:rPr>
          <w:rFonts w:ascii="맑은 고딕" w:hAnsi="맑은 고딕"/>
          <w:b w:val="0"/>
          <w:sz w:val="22"/>
        </w:rPr>
        <w:t>개인정보 비해당 확인 — OTC 구매 집계·하수 바이러스 농도·검색 트렌드가 개인을 식별할 수 없는 집계 데이터임을 학부 보고서에서 어떻게 기술하고 ISMS-P 적용 여부를 어떻게 판단하는지 의견을 청합니다.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3.  </w:t>
      </w:r>
      <w:r>
        <w:rPr>
          <w:rFonts w:ascii="맑은 고딕" w:hAnsi="맑은 고딕"/>
          <w:b w:val="0"/>
          <w:sz w:val="22"/>
        </w:rPr>
        <w:t>보건의료 데이터 표준 — 향후 정부기관 납품 시 HL7 FHIR 또는 한국형 PHR 표준 준수가 필요한지, 학부 PoC 단계에서 미리 고려해야 할 표준 사항을 알려주시면 감사하겠습니다.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