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/>
          <w:b/>
          <w:sz w:val="32"/>
        </w:rPr>
        <w:t>학부 캡스톤 연구 자문 요청서</w:t>
      </w:r>
    </w:p>
    <w:p>
      <w:pPr>
        <w:spacing w:after="40"/>
      </w:pPr>
      <w: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/>
          <w:b/>
          <w:sz w:val="22"/>
        </w:rPr>
        <w:t xml:space="preserve">수신: </w:t>
      </w:r>
      <w:r>
        <w:rPr>
          <w:rFonts w:ascii="맑은 고딕" w:hAnsi="맑은 고딕"/>
          <w:b w:val="0"/>
          <w:sz w:val="22"/>
        </w:rPr>
        <w:t>경북대학교 보건학과 / 임달오 교수님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안녕하십니까, 임달오 교수님. 학부 캡스톤 연구에서 관측된 대구·경북 지역 약신호의 원인 분석을 위해 정중히 자문을 요청드리고자 서한 올립니다.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저는 동신대학교 컴퓨터공학과 [학번] OOO이며, [지도교수 ○○○ 교수님] 지도 하에 학부 캡스톤 「Urban Immune System(UIS)」을 진행하고 있습니다.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1.  </w:t>
      </w:r>
      <w:r>
        <w:rPr>
          <w:rFonts w:ascii="맑은 고딕" w:hAnsi="맑은 고딕"/>
          <w:b w:val="0"/>
          <w:sz w:val="22"/>
        </w:rPr>
        <w:t>대구·경북 감염병 감시 인프라 — 저희 시스템에서 대구·경북의 L2 하수 신호와 경보 recall이 타 지역 대비 낮게 관측됩니다. 경북대 소재 지역 전문가로서 KOWAS 측정망 현황, 하수처리장 커버리지, 지역 인프라 특성에 대한 현장 의견을 공유해 주시면 감사하겠습니다.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2.  </w:t>
      </w:r>
      <w:r>
        <w:rPr>
          <w:rFonts w:ascii="맑은 고딕" w:hAnsi="맑은 고딕"/>
          <w:b w:val="0"/>
          <w:sz w:val="22"/>
        </w:rPr>
        <w:t>지역 인구 특성 영향 — 고령 인구 비율·농촌 비율이 높은 경북의 OTC 구매 패턴과 인터넷 검색 이용률이 도시 지역 대비 어떻게 다를 수 있는지, 이것이 L1·L3 신호 강도에 미치는 영향에 대한 의견을 청합니다.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3.  </w:t>
      </w:r>
      <w:r>
        <w:rPr>
          <w:rFonts w:ascii="맑은 고딕" w:hAnsi="맑은 고딕"/>
          <w:b w:val="0"/>
          <w:sz w:val="22"/>
        </w:rPr>
        <w:t>지역별 임계값 보정 타당성 — 경북 특성에 맞게 경보 임계값을 별도 보정하는 것이 역학적으로 타당한 접근인지, 학부 PoC 보고서에서 이를 정당화하는 방법을 알려주시면 감사하겠습니다.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