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sz w:val="32"/>
        </w:rPr>
        <w:t>학부 캡스톤 연구 자문 요청서</w:t>
      </w:r>
    </w:p>
    <w:p>
      <w:pPr>
        <w:spacing w:after="40"/>
      </w:pPr>
      <w: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/>
          <w:b/>
          <w:sz w:val="22"/>
        </w:rPr>
        <w:t xml:space="preserve">수신: </w:t>
      </w:r>
      <w:r>
        <w:rPr>
          <w:rFonts w:ascii="맑은 고딕" w:hAnsi="맑은 고딕"/>
          <w:b w:val="0"/>
          <w:sz w:val="22"/>
        </w:rPr>
        <w:t>한국보건의료연구원 (NECA)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안녕하십니까. 학부 캡스톤 연구 결과물의 의료기술 평가(HTA) 해당 여부 및 관련 가이드라인을 문의드리고자 서한 올립니다.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1.  </w:t>
      </w:r>
      <w:r>
        <w:rPr>
          <w:rFonts w:ascii="맑은 고딕" w:hAnsi="맑은 고딕"/>
          <w:b w:val="0"/>
          <w:sz w:val="22"/>
        </w:rPr>
        <w:t>HTA 대상 여부 — 감염병 조기경보 AI가 NECA 의료기술 평가 대상 기술에 해당하는지, 소프트웨어 의료기기(SaMD)와의 구분 기준을 알려주시면 향후 사업화 방향 결정에 참고하겠습니다.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2.  </w:t>
      </w:r>
      <w:r>
        <w:rPr>
          <w:rFonts w:ascii="맑은 고딕" w:hAnsi="맑은 고딕"/>
          <w:b w:val="0"/>
          <w:sz w:val="22"/>
        </w:rPr>
        <w:t>근거 수준 요건 — 향후 HTA 절차를 거치려면 어떤 수준의 임상 근거(코호트·RWE 등)를 갖춰야 하는지 학부 PoC 단계에서 미리 파악하고 연구 설계에 반영하고자 합니다.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3.  </w:t>
      </w:r>
      <w:r>
        <w:rPr>
          <w:rFonts w:ascii="맑은 고딕" w:hAnsi="맑은 고딕"/>
          <w:b w:val="0"/>
          <w:sz w:val="22"/>
        </w:rPr>
        <w:t>사전 컨설팅 이용 가능 여부 — 학부 연구팀이 정식 HTA 신청 전 사전 컨설팅 프로그램을 이용할 수 있는지, 절차를 안내해 주시면 감사하겠습니다.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