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80"/>
      </w:pPr>
    </w:p>
    <w:p>
      <w:pPr>
        <w:spacing w:before="600" w:after="600"/>
        <w:jc w:val="center"/>
      </w:pPr>
      <w:r>
        <w:rPr>
          <w:rFonts w:ascii="맑은 고딕" w:hAnsi="맑은 고딕" w:eastAsia="맑은 고딕"/>
          <w:b/>
          <w:sz w:val="44"/>
        </w:rPr>
        <w:t>설계(프로젝트) 최종보고서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4"/>
        <w:gridCol w:w="6520"/>
      </w:tblGrid>
      <w:tr>
        <w:tc>
          <w:tcPr>
            <w:tcW w:type="dxa" w:w="4561"/>
            <w:shd w:fill="BDD7EE" w:val="clear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교과목명</w:t>
            </w:r>
          </w:p>
        </w:tc>
        <w:tc>
          <w:tcPr>
            <w:tcW w:type="dxa" w:w="456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캡스톤디자인</w:t>
            </w:r>
          </w:p>
        </w:tc>
      </w:tr>
      <w:tr>
        <w:tc>
          <w:tcPr>
            <w:tcW w:type="dxa" w:w="4561"/>
            <w:shd w:fill="BDD7EE" w:val="clear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소  속</w:t>
            </w:r>
          </w:p>
        </w:tc>
        <w:tc>
          <w:tcPr>
            <w:tcW w:type="dxa" w:w="456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동신대학교 컴퓨터공학과</w:t>
            </w:r>
          </w:p>
        </w:tc>
      </w:tr>
      <w:tr>
        <w:tc>
          <w:tcPr>
            <w:tcW w:type="dxa" w:w="4561"/>
            <w:shd w:fill="BDD7EE" w:val="clear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팀  명</w:t>
            </w:r>
          </w:p>
        </w:tc>
        <w:tc>
          <w:tcPr>
            <w:tcW w:type="dxa" w:w="456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Urban Immune System</w:t>
            </w:r>
          </w:p>
        </w:tc>
      </w:tr>
      <w:tr>
        <w:tc>
          <w:tcPr>
            <w:tcW w:type="dxa" w:w="4561"/>
            <w:shd w:fill="BDD7EE" w:val="clear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과제명</w:t>
            </w:r>
          </w:p>
        </w:tc>
        <w:tc>
          <w:tcPr>
            <w:tcW w:type="dxa" w:w="456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Urban Immune System — 비의료 다중 신호 교차검증 감염병 조기경보 AI</w:t>
            </w:r>
          </w:p>
        </w:tc>
      </w:tr>
      <w:tr>
        <w:tc>
          <w:tcPr>
            <w:tcW w:type="dxa" w:w="9122"/>
            <w:gridSpan w:val="2"/>
            <w:shd w:fill="BDD7EE" w:val="clear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팀  구  성</w:t>
            </w:r>
          </w:p>
        </w:tc>
      </w:tr>
      <w:tr>
        <w:tc>
          <w:tcPr>
            <w:tcW w:type="dxa" w:w="4561"/>
            <w:shd w:fill="BDD7EE" w:val="clear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구  분</w:t>
            </w:r>
          </w:p>
        </w:tc>
        <w:tc>
          <w:tcPr>
            <w:tcW w:type="dxa" w:w="4561"/>
            <w:shd w:fill="BDD7EE" w:val="clear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성명 (학번)</w:t>
            </w:r>
          </w:p>
        </w:tc>
      </w:tr>
      <w:tr>
        <w:tc>
          <w:tcPr>
            <w:tcW w:type="dxa" w:w="4561"/>
            <w:shd w:fill="BDD7EE" w:val="clear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팀  장</w:t>
            </w:r>
          </w:p>
        </w:tc>
        <w:tc>
          <w:tcPr>
            <w:tcW w:type="dxa" w:w="456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이경준</w:t>
            </w:r>
          </w:p>
        </w:tc>
      </w:tr>
      <w:tr>
        <w:tc>
          <w:tcPr>
            <w:tcW w:type="dxa" w:w="4561"/>
            <w:shd w:fill="BDD7EE" w:val="clear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팀  원</w:t>
            </w:r>
          </w:p>
        </w:tc>
        <w:tc>
          <w:tcPr>
            <w:tcW w:type="dxa" w:w="456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박진영 / 이우형 / 김나영 / 박정빈</w:t>
            </w:r>
          </w:p>
        </w:tc>
      </w:tr>
    </w:tbl>
    <w:p>
      <w:pPr>
        <w:spacing w:before="0"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fill="BDD7EE" w:val="clear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제  출  일</w:t>
            </w:r>
          </w:p>
        </w:tc>
        <w:tc>
          <w:tcPr>
            <w:tcW w:type="dxa" w:w="4561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2026년  6월  14일</w:t>
            </w:r>
          </w:p>
        </w:tc>
      </w:tr>
      <w:tr>
        <w:tc>
          <w:tcPr>
            <w:tcW w:type="dxa" w:w="4561"/>
            <w:shd w:fill="BDD7EE" w:val="clear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지도교수</w:t>
            </w:r>
          </w:p>
        </w:tc>
        <w:tc>
          <w:tcPr>
            <w:tcW w:type="dxa" w:w="4561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○○○ 교수님</w:t>
            </w:r>
          </w:p>
        </w:tc>
      </w:tr>
    </w:tbl>
    <w:p>
      <w:r>
        <w:br w:type="page"/>
      </w:r>
    </w:p>
    <w:p>
      <w:pPr>
        <w:spacing w:before="120" w:after="240"/>
        <w:jc w:val="center"/>
      </w:pPr>
      <w:r>
        <w:rPr>
          <w:rFonts w:ascii="맑은 고딕" w:hAnsi="맑은 고딕" w:eastAsia="맑은 고딕"/>
          <w:b/>
          <w:sz w:val="28"/>
        </w:rPr>
        <w:t>&lt;제목 차례&gt;</w:t>
      </w:r>
    </w:p>
    <w:p>
      <w:pPr>
        <w:spacing w:after="40"/>
        <w:ind w:left="0"/>
      </w:pPr>
      <w:r>
        <w:rPr>
          <w:rFonts w:ascii="맑은 고딕" w:hAnsi="맑은 고딕" w:eastAsia="맑은 고딕"/>
          <w:b/>
          <w:sz w:val="20"/>
        </w:rPr>
        <w:t>1. 서론</w:t>
      </w:r>
    </w:p>
    <w:p>
      <w:pPr>
        <w:spacing w:after="40"/>
        <w:ind w:left="454"/>
      </w:pPr>
      <w:r>
        <w:rPr>
          <w:rFonts w:ascii="맑은 고딕" w:hAnsi="맑은 고딕" w:eastAsia="맑은 고딕"/>
          <w:b w:val="0"/>
          <w:sz w:val="20"/>
        </w:rPr>
        <w:t xml:space="preserve">  가. 개발배경(주제 선정 동기) 및 목표</w:t>
      </w:r>
    </w:p>
    <w:p>
      <w:pPr>
        <w:spacing w:after="40"/>
        <w:ind w:left="454"/>
      </w:pPr>
      <w:r>
        <w:rPr>
          <w:rFonts w:ascii="맑은 고딕" w:hAnsi="맑은 고딕" w:eastAsia="맑은 고딕"/>
          <w:b w:val="0"/>
          <w:sz w:val="20"/>
        </w:rPr>
        <w:t xml:space="preserve">  나. 작품개요</w:t>
      </w:r>
    </w:p>
    <w:p>
      <w:pPr>
        <w:spacing w:after="40"/>
        <w:ind w:left="454"/>
      </w:pPr>
      <w:r>
        <w:rPr>
          <w:rFonts w:ascii="맑은 고딕" w:hAnsi="맑은 고딕" w:eastAsia="맑은 고딕"/>
          <w:b w:val="0"/>
          <w:sz w:val="20"/>
        </w:rPr>
        <w:t xml:space="preserve">  다. 선행연구 및 제품 관련 자료 조사</w:t>
      </w:r>
    </w:p>
    <w:p>
      <w:pPr>
        <w:spacing w:after="40"/>
        <w:ind w:left="454"/>
      </w:pPr>
      <w:r>
        <w:rPr>
          <w:rFonts w:ascii="맑은 고딕" w:hAnsi="맑은 고딕" w:eastAsia="맑은 고딕"/>
          <w:b w:val="0"/>
          <w:sz w:val="20"/>
        </w:rPr>
        <w:t xml:space="preserve">  라. 작품의 목표(개념설계)</w:t>
      </w:r>
    </w:p>
    <w:p>
      <w:pPr>
        <w:spacing w:after="40"/>
        <w:ind w:left="454"/>
      </w:pPr>
      <w:r>
        <w:rPr>
          <w:rFonts w:ascii="맑은 고딕" w:hAnsi="맑은 고딕" w:eastAsia="맑은 고딕"/>
          <w:b w:val="0"/>
          <w:sz w:val="20"/>
        </w:rPr>
        <w:t xml:space="preserve">  마. 작품의 특징 및 기대효과</w:t>
      </w:r>
    </w:p>
    <w:p>
      <w:pPr>
        <w:spacing w:after="40"/>
        <w:ind w:left="454"/>
      </w:pPr>
      <w:r>
        <w:rPr>
          <w:rFonts w:ascii="맑은 고딕" w:hAnsi="맑은 고딕" w:eastAsia="맑은 고딕"/>
          <w:b w:val="0"/>
          <w:sz w:val="20"/>
        </w:rPr>
        <w:t xml:space="preserve">  바. 팀원의 구성 및 역할 분담</w:t>
      </w:r>
    </w:p>
    <w:p>
      <w:pPr>
        <w:spacing w:after="40"/>
        <w:ind w:left="454"/>
      </w:pPr>
      <w:r>
        <w:rPr>
          <w:rFonts w:ascii="맑은 고딕" w:hAnsi="맑은 고딕" w:eastAsia="맑은 고딕"/>
          <w:b w:val="0"/>
          <w:sz w:val="20"/>
        </w:rPr>
        <w:t xml:space="preserve">  사. 추진기간</w:t>
      </w:r>
    </w:p>
    <w:p>
      <w:pPr>
        <w:spacing w:after="40"/>
        <w:ind w:left="0"/>
      </w:pPr>
      <w:r>
        <w:rPr>
          <w:rFonts w:ascii="맑은 고딕" w:hAnsi="맑은 고딕" w:eastAsia="맑은 고딕"/>
          <w:b/>
          <w:sz w:val="20"/>
        </w:rPr>
        <w:t>2. 작품의 설계</w:t>
      </w:r>
    </w:p>
    <w:p>
      <w:pPr>
        <w:spacing w:after="40"/>
        <w:ind w:left="454"/>
      </w:pPr>
      <w:r>
        <w:rPr>
          <w:rFonts w:ascii="맑은 고딕" w:hAnsi="맑은 고딕" w:eastAsia="맑은 고딕"/>
          <w:b w:val="0"/>
          <w:sz w:val="20"/>
        </w:rPr>
        <w:t xml:space="preserve">  가. 설계 개요</w:t>
      </w:r>
    </w:p>
    <w:p>
      <w:pPr>
        <w:spacing w:after="40"/>
        <w:ind w:left="454"/>
      </w:pPr>
      <w:r>
        <w:rPr>
          <w:rFonts w:ascii="맑은 고딕" w:hAnsi="맑은 고딕" w:eastAsia="맑은 고딕"/>
          <w:b w:val="0"/>
          <w:sz w:val="20"/>
        </w:rPr>
        <w:t xml:space="preserve">  나. 상세 설계</w:t>
      </w:r>
    </w:p>
    <w:p>
      <w:pPr>
        <w:spacing w:after="40"/>
        <w:ind w:left="454"/>
      </w:pPr>
      <w:r>
        <w:rPr>
          <w:rFonts w:ascii="맑은 고딕" w:hAnsi="맑은 고딕" w:eastAsia="맑은 고딕"/>
          <w:b w:val="0"/>
          <w:sz w:val="20"/>
        </w:rPr>
        <w:t xml:space="preserve">  다. 구성도 및 제작도</w:t>
      </w:r>
    </w:p>
    <w:p>
      <w:pPr>
        <w:spacing w:after="40"/>
        <w:ind w:left="454"/>
      </w:pPr>
      <w:r>
        <w:rPr>
          <w:rFonts w:ascii="맑은 고딕" w:hAnsi="맑은 고딕" w:eastAsia="맑은 고딕"/>
          <w:b w:val="0"/>
          <w:sz w:val="20"/>
        </w:rPr>
        <w:t xml:space="preserve">  라. 재료비 산출 및 부품리스트</w:t>
      </w:r>
    </w:p>
    <w:p>
      <w:pPr>
        <w:spacing w:after="40"/>
        <w:ind w:left="454"/>
      </w:pPr>
      <w:r>
        <w:rPr>
          <w:rFonts w:ascii="맑은 고딕" w:hAnsi="맑은 고딕" w:eastAsia="맑은 고딕"/>
          <w:b w:val="0"/>
          <w:sz w:val="20"/>
        </w:rPr>
        <w:t xml:space="preserve">  마. 개발과정에 활용한 공학도구</w:t>
      </w:r>
    </w:p>
    <w:p>
      <w:pPr>
        <w:spacing w:after="40"/>
        <w:ind w:left="0"/>
      </w:pPr>
      <w:r>
        <w:rPr>
          <w:rFonts w:ascii="맑은 고딕" w:hAnsi="맑은 고딕" w:eastAsia="맑은 고딕"/>
          <w:b/>
          <w:sz w:val="20"/>
        </w:rPr>
        <w:t>3. 결론 및 향후 과제</w:t>
      </w:r>
    </w:p>
    <w:p>
      <w:pPr>
        <w:spacing w:after="40"/>
        <w:ind w:left="454"/>
      </w:pPr>
      <w:r>
        <w:rPr>
          <w:rFonts w:ascii="맑은 고딕" w:hAnsi="맑은 고딕" w:eastAsia="맑은 고딕"/>
          <w:b w:val="0"/>
          <w:sz w:val="20"/>
        </w:rPr>
        <w:t xml:space="preserve">  가. 목표구현 정도 평가</w:t>
      </w:r>
    </w:p>
    <w:p>
      <w:pPr>
        <w:spacing w:after="40"/>
        <w:ind w:left="454"/>
      </w:pPr>
      <w:r>
        <w:rPr>
          <w:rFonts w:ascii="맑은 고딕" w:hAnsi="맑은 고딕" w:eastAsia="맑은 고딕"/>
          <w:b w:val="0"/>
          <w:sz w:val="20"/>
        </w:rPr>
        <w:t xml:space="preserve">  나. 향후 보완점</w:t>
      </w:r>
    </w:p>
    <w:p>
      <w:pPr>
        <w:spacing w:after="40"/>
        <w:ind w:left="454"/>
      </w:pPr>
      <w:r>
        <w:rPr>
          <w:rFonts w:ascii="맑은 고딕" w:hAnsi="맑은 고딕" w:eastAsia="맑은 고딕"/>
          <w:b w:val="0"/>
          <w:sz w:val="20"/>
        </w:rPr>
        <w:t xml:space="preserve">  다. 향후 과제</w:t>
      </w:r>
    </w:p>
    <w:p>
      <w:pPr>
        <w:spacing w:after="40"/>
        <w:ind w:left="0"/>
      </w:pPr>
      <w:r>
        <w:rPr>
          <w:rFonts w:ascii="맑은 고딕" w:hAnsi="맑은 고딕" w:eastAsia="맑은 고딕"/>
          <w:b/>
          <w:sz w:val="20"/>
        </w:rPr>
        <w:t>4. 부록</w:t>
      </w:r>
    </w:p>
    <w:p>
      <w:pPr>
        <w:spacing w:after="40"/>
        <w:ind w:left="454"/>
      </w:pPr>
      <w:r>
        <w:rPr>
          <w:rFonts w:ascii="맑은 고딕" w:hAnsi="맑은 고딕" w:eastAsia="맑은 고딕"/>
          <w:b w:val="0"/>
          <w:sz w:val="20"/>
        </w:rPr>
        <w:t xml:space="preserve">  가. 참고문헌</w:t>
      </w:r>
    </w:p>
    <w:p>
      <w:pPr>
        <w:spacing w:after="40"/>
        <w:ind w:left="454"/>
      </w:pPr>
      <w:r>
        <w:rPr>
          <w:rFonts w:ascii="맑은 고딕" w:hAnsi="맑은 고딕" w:eastAsia="맑은 고딕"/>
          <w:b w:val="0"/>
          <w:sz w:val="20"/>
        </w:rPr>
        <w:t xml:space="preserve">  나. 참고사이트</w:t>
      </w:r>
    </w:p>
    <w:p>
      <w:r>
        <w:br w:type="page"/>
      </w:r>
    </w:p>
    <w:p>
      <w:pPr>
        <w:spacing w:before="120" w:after="80"/>
      </w:pPr>
      <w:r>
        <w:rPr>
          <w:rFonts w:ascii="맑은 고딕" w:hAnsi="맑은 고딕" w:eastAsia="맑은 고딕"/>
          <w:b/>
          <w:sz w:val="28"/>
        </w:rPr>
        <w:t>1. 서론</w:t>
      </w:r>
    </w:p>
    <w:p>
      <w:pPr>
        <w:spacing w:before="0" w:after="80"/>
      </w:pPr>
      <w:r>
        <w:rPr>
          <w:rFonts w:ascii="맑은 고딕" w:hAnsi="맑은 고딕" w:eastAsia="맑은 고딕"/>
          <w:b/>
          <w:sz w:val="24"/>
        </w:rPr>
        <w:t>가. 개발배경(주제 선정 동기) 및 목표</w:t>
      </w:r>
    </w:p>
    <w:p>
      <w:pPr>
        <w:spacing w:before="0" w:after="60"/>
        <w:ind w:left="283"/>
      </w:pPr>
      <w:r>
        <w:rPr>
          <w:rFonts w:ascii="맑은 고딕" w:hAnsi="맑은 고딕" w:eastAsia="맑은 고딕"/>
          <w:b/>
          <w:sz w:val="22"/>
        </w:rPr>
        <w:t>1) 개발배경(주제 선정 동기)</w:t>
      </w:r>
    </w:p>
    <w:p>
      <w:pPr>
        <w:spacing w:after="60"/>
        <w:ind w:left="567" w:hanging="283"/>
      </w:pPr>
      <w:r>
        <w:rPr>
          <w:rFonts w:ascii="맑은 고딕" w:hAnsi="맑은 고딕" w:eastAsia="맑은 고딕"/>
          <w:b w:val="0"/>
          <w:sz w:val="22"/>
        </w:rPr>
        <w:t>- 2019년 코로나19 팬데믹 이후 감염병 조기 탐지의 중요성이 부각되었으나, 기존 임상 기반 감시 체계는 확진까지 1~2주의 지연이 발생함</w:t>
      </w:r>
    </w:p>
    <w:p>
      <w:pPr>
        <w:spacing w:after="60"/>
        <w:ind w:left="567" w:hanging="283"/>
      </w:pPr>
      <w:r>
        <w:rPr>
          <w:rFonts w:ascii="맑은 고딕" w:hAnsi="맑은 고딕" w:eastAsia="맑은 고딕"/>
          <w:b w:val="0"/>
          <w:sz w:val="22"/>
        </w:rPr>
        <w:t>- 병원 방문 전 단계에서 나타나는 시민 행동 데이터(약국 구매·검색 트렌드·하수 바이러스)가 임상 확진보다 선행하는 신호를 포함하고 있음</w:t>
      </w:r>
    </w:p>
    <w:p>
      <w:pPr>
        <w:spacing w:after="60"/>
        <w:ind w:left="567" w:hanging="283"/>
      </w:pPr>
      <w:r>
        <w:rPr>
          <w:rFonts w:ascii="맑은 고딕" w:hAnsi="맑은 고딕" w:eastAsia="맑은 고딕"/>
          <w:b w:val="0"/>
          <w:sz w:val="22"/>
        </w:rPr>
        <w:t>- 2013년 Google Flu Trends의 과대예측 실패 사례에서 단일 비의료 신호의 한계가 명확히 드러나, 다중 신호 교차검증의 필요성이 제기됨</w:t>
      </w:r>
    </w:p>
    <w:p>
      <w:pPr>
        <w:spacing w:after="60"/>
        <w:ind w:left="567" w:hanging="283"/>
      </w:pPr>
      <w:r>
        <w:rPr>
          <w:rFonts w:ascii="맑은 고딕" w:hAnsi="맑은 고딕" w:eastAsia="맑은 고딕"/>
          <w:b w:val="0"/>
          <w:sz w:val="22"/>
        </w:rPr>
        <w:t>- 한국 질병관리청(KDCA) 및 지자체 보건당국이 실시간 광역 감염병 감시 도구의 부재로 대응 지연 문제를 겪고 있음</w:t>
      </w:r>
    </w:p>
    <w:p>
      <w:pPr>
        <w:spacing w:after="60"/>
        <w:ind w:left="567" w:hanging="283"/>
      </w:pPr>
      <w:r>
        <w:rPr>
          <w:rFonts w:ascii="맑은 고딕" w:hAnsi="맑은 고딕" w:eastAsia="맑은 고딕"/>
          <w:b w:val="0"/>
          <w:sz w:val="22"/>
        </w:rPr>
        <w:t>- 공개 API(네이버 쇼핑인사이트·DataLab, KOWAS)와 오픈소스 ML 프레임워크를 활용해 저비용으로 실운영 가능한 PoC 시스템 구축 가능성 검증</w:t>
      </w:r>
    </w:p>
    <w:p>
      <w:pPr>
        <w:spacing w:before="80" w:after="60"/>
        <w:ind w:left="283"/>
      </w:pPr>
      <w:r>
        <w:rPr>
          <w:rFonts w:ascii="맑은 고딕" w:hAnsi="맑은 고딕" w:eastAsia="맑은 고딕"/>
          <w:b/>
          <w:sz w:val="22"/>
        </w:rPr>
        <w:t>2) 개발목표</w:t>
      </w:r>
    </w:p>
    <w:p>
      <w:pPr>
        <w:spacing w:after="60"/>
        <w:ind w:left="567" w:hanging="283"/>
      </w:pPr>
      <w:r>
        <w:rPr>
          <w:rFonts w:ascii="맑은 고딕" w:hAnsi="맑은 고딕" w:eastAsia="맑은 고딕"/>
          <w:b w:val="0"/>
          <w:sz w:val="22"/>
        </w:rPr>
        <w:t>- 약국 OTC 구매(L1), 하수 바이러스 농도(L2), 검색 트렌드(L3) 3계층 비의료 신호 실시간 수집·정규화 파이프라인 구축</w:t>
      </w:r>
    </w:p>
    <w:p>
      <w:pPr>
        <w:spacing w:after="60"/>
        <w:ind w:left="567" w:hanging="283"/>
      </w:pPr>
      <w:r>
        <w:rPr>
          <w:rFonts w:ascii="맑은 고딕" w:hAnsi="맑은 고딕" w:eastAsia="맑은 고딕"/>
          <w:b w:val="0"/>
          <w:sz w:val="22"/>
        </w:rPr>
        <w:t>- 17개 시·도 단위로 임상 확진보다 1~3주 선행하는 감염병 조기경보 발령 AI 시스템 개발</w:t>
      </w:r>
    </w:p>
    <w:p>
      <w:pPr>
        <w:spacing w:after="60"/>
        <w:ind w:left="567" w:hanging="283"/>
      </w:pPr>
      <w:r>
        <w:rPr>
          <w:rFonts w:ascii="맑은 고딕" w:hAnsi="맑은 고딕" w:eastAsia="맑은 고딕"/>
          <w:b w:val="0"/>
          <w:sz w:val="22"/>
        </w:rPr>
        <w:t>- 2-of-3 교차검증 게이트(Gate B) 적용으로 단일 신호 대비 오경보율(FAR) 50% 이상 감소</w:t>
      </w:r>
    </w:p>
    <w:p>
      <w:pPr>
        <w:spacing w:after="60"/>
        <w:ind w:left="567" w:hanging="283"/>
      </w:pPr>
      <w:r>
        <w:rPr>
          <w:rFonts w:ascii="맑은 고딕" w:hAnsi="맑은 고딕" w:eastAsia="맑은 고딕"/>
          <w:b w:val="0"/>
          <w:sz w:val="22"/>
        </w:rPr>
        <w:t>- XGBoost 앙상블 모델 기반 F1-Score 0.80 이상, FAR 0.30 미만 달성</w:t>
      </w:r>
    </w:p>
    <w:p>
      <w:pPr>
        <w:spacing w:after="60"/>
        <w:ind w:left="567" w:hanging="283"/>
      </w:pPr>
      <w:r>
        <w:rPr>
          <w:rFonts w:ascii="맑은 고딕" w:hAnsi="맑은 고딕" w:eastAsia="맑은 고딕"/>
          <w:b w:val="0"/>
          <w:sz w:val="22"/>
        </w:rPr>
        <w:t>- Next.js 대시보드 및 RAG 기반 자연어 경보 리포트를 갖춘 B2G 납품 가능 수준의 웹 서비스 구현</w:t>
      </w:r>
    </w:p>
    <w:p>
      <w:pPr>
        <w:spacing w:before="120" w:after="80"/>
      </w:pPr>
      <w:r>
        <w:rPr>
          <w:rFonts w:ascii="맑은 고딕" w:hAnsi="맑은 고딕" w:eastAsia="맑은 고딕"/>
          <w:b/>
          <w:sz w:val="24"/>
        </w:rPr>
        <w:t>나. 작품개요</w:t>
      </w:r>
    </w:p>
    <w:p>
      <w:pPr>
        <w:spacing w:after="60"/>
        <w:ind w:left="567" w:hanging="283"/>
      </w:pPr>
      <w:r>
        <w:rPr>
          <w:rFonts w:ascii="맑은 고딕" w:hAnsi="맑은 고딕" w:eastAsia="맑은 고딕"/>
          <w:b w:val="0"/>
          <w:sz w:val="22"/>
        </w:rPr>
        <w:t>- Urban Immune System(UIS)은 시민의 비의료 신호 3종을 실시간 융합하여 감염병 유행을 1~3주 앞서 탐지하는 AI 조기경보 시스템</w:t>
      </w:r>
    </w:p>
    <w:p>
      <w:pPr>
        <w:spacing w:after="60"/>
        <w:ind w:left="567" w:hanging="283"/>
      </w:pPr>
      <w:r>
        <w:rPr>
          <w:rFonts w:ascii="맑은 고딕" w:hAnsi="맑은 고딕" w:eastAsia="맑은 고딕"/>
          <w:b w:val="0"/>
          <w:sz w:val="22"/>
        </w:rPr>
        <w:t>- 약국 의약품 구매(네이버 쇼핑인사이트), 하수 바이러스 농도(질병관리청 KOWAS), 검색 트렌드(네이버 DataLab)를 3계층 신호로 수집</w:t>
      </w:r>
    </w:p>
    <w:p>
      <w:pPr>
        <w:spacing w:after="60"/>
        <w:ind w:left="567" w:hanging="283"/>
      </w:pPr>
      <w:r>
        <w:rPr>
          <w:rFonts w:ascii="맑은 고딕" w:hAnsi="맑은 고딕" w:eastAsia="맑은 고딕"/>
          <w:b w:val="0"/>
          <w:sz w:val="22"/>
        </w:rPr>
        <w:t>- 수집 신호는 Kafka 스트리밍 → TimescaleDB 하이퍼테이블 저장 → XGBoost 앙상블 실시간 경보 점수 산출의 파이프라인으로 처리</w:t>
      </w:r>
    </w:p>
    <w:p>
      <w:pPr>
        <w:spacing w:after="60"/>
        <w:ind w:left="567" w:hanging="283"/>
      </w:pPr>
      <w:r>
        <w:rPr>
          <w:rFonts w:ascii="맑은 고딕" w:hAnsi="맑은 고딕" w:eastAsia="맑은 고딕"/>
          <w:b w:val="0"/>
          <w:sz w:val="22"/>
        </w:rPr>
        <w:t>- Gate B 교차검증 규칙: 3개 신호 중 2개 이상 동시 임계값 초과 시에만 경보 발령 → FAR 58.5% 감소 (0.602→0.250)</w:t>
      </w:r>
    </w:p>
    <w:p>
      <w:pPr>
        <w:spacing w:after="60"/>
        <w:ind w:left="567" w:hanging="283"/>
      </w:pPr>
      <w:r>
        <w:rPr>
          <w:rFonts w:ascii="맑은 고딕" w:hAnsi="맑은 고딕" w:eastAsia="맑은 고딕"/>
          <w:b w:val="0"/>
          <w:sz w:val="22"/>
        </w:rPr>
        <w:t>- 17개 시·도 26주 walk-forward 백테스트 최종 결과: F1=0.907, Recall=0.882, FAR=0.250, Lead Time=6.47주, MCC=0.610, AUPRC=0.973</w:t>
      </w:r>
    </w:p>
    <w:p>
      <w:pPr>
        <w:spacing w:before="120" w:after="80"/>
      </w:pPr>
      <w:r>
        <w:rPr>
          <w:rFonts w:ascii="맑은 고딕" w:hAnsi="맑은 고딕" w:eastAsia="맑은 고딕"/>
          <w:b/>
          <w:sz w:val="24"/>
        </w:rPr>
        <w:t>다. 선행연구 및 제품 관련 자료 조사</w:t>
      </w:r>
    </w:p>
    <w:p>
      <w:pPr>
        <w:spacing w:after="60"/>
        <w:ind w:left="567" w:hanging="283"/>
      </w:pPr>
      <w:r>
        <w:rPr>
          <w:rFonts w:ascii="맑은 고딕" w:hAnsi="맑은 고딕" w:eastAsia="맑은 고딕"/>
          <w:b w:val="0"/>
          <w:sz w:val="22"/>
        </w:rPr>
        <w:t>- Lee et al. (2023, Nature Comm.): OTC 구매×하수 2계층 융합, 단일 지역 Lead 1~2주 → UIS는 3계층으로 확장, 17개 지역 커버</w:t>
      </w:r>
    </w:p>
    <w:p>
      <w:pPr>
        <w:spacing w:after="60"/>
        <w:ind w:left="567" w:hanging="283"/>
      </w:pPr>
      <w:r>
        <w:rPr>
          <w:rFonts w:ascii="맑은 고딕" w:hAnsi="맑은 고딕" w:eastAsia="맑은 고딕"/>
          <w:b w:val="0"/>
          <w:sz w:val="22"/>
        </w:rPr>
        <w:t>- KOWAS (2023, 질병관리청): 하수 단독 감시, Lead 2~3주 → UIS는 L1·L3 추가 교차검증으로 FAR 개선</w:t>
      </w:r>
    </w:p>
    <w:p>
      <w:pPr>
        <w:spacing w:after="60"/>
        <w:ind w:left="567" w:hanging="283"/>
      </w:pPr>
      <w:r>
        <w:rPr>
          <w:rFonts w:ascii="맑은 고딕" w:hAnsi="맑은 고딕" w:eastAsia="맑은 고딕"/>
          <w:b w:val="0"/>
          <w:sz w:val="22"/>
        </w:rPr>
        <w:t>- Macao XGBoost (2024): 다중 신호 XGBoost 앙상블, F1=0.85 → UIS는 Gate B 규칙 + 지역별 임계값 보정으로 F1=0.907 달성</w:t>
      </w:r>
    </w:p>
    <w:p>
      <w:pPr>
        <w:spacing w:after="60"/>
        <w:ind w:left="567" w:hanging="283"/>
      </w:pPr>
      <w:r>
        <w:rPr>
          <w:rFonts w:ascii="맑은 고딕" w:hAnsi="맑은 고딕" w:eastAsia="맑은 고딕"/>
          <w:b w:val="0"/>
          <w:sz w:val="22"/>
        </w:rPr>
        <w:t>- Google Flu Trends (2013): 검색 트렌드 단독 과대예측 실패 → UIS는 L3 단독 경보 발령 금지 규칙으로 교훈 반영</w:t>
      </w:r>
    </w:p>
    <w:p>
      <w:pPr>
        <w:spacing w:after="60"/>
        <w:ind w:left="567" w:hanging="283"/>
      </w:pPr>
      <w:r>
        <w:rPr>
          <w:rFonts w:ascii="맑은 고딕" w:hAnsi="맑은 고딕" w:eastAsia="맑은 고딕"/>
          <w:b w:val="0"/>
          <w:sz w:val="22"/>
        </w:rPr>
        <w:t>- Zheng et al. (2024): 중국 2계층 이종 신호 EWS → UIS는 한국 17개 시·도 행정구역 특화 구현으로 차별화</w:t>
      </w:r>
    </w:p>
    <w:p>
      <w:pPr>
        <w:spacing w:before="120" w:after="80"/>
      </w:pPr>
      <w:r>
        <w:rPr>
          <w:rFonts w:ascii="맑은 고딕" w:hAnsi="맑은 고딕" w:eastAsia="맑은 고딕"/>
          <w:b/>
          <w:sz w:val="24"/>
        </w:rPr>
        <w:t>라. 작품(프로젝트)의 목표(개념설계)</w:t>
      </w:r>
    </w:p>
    <w:p>
      <w:pPr>
        <w:spacing w:after="60"/>
        <w:ind w:left="567" w:hanging="283"/>
      </w:pPr>
      <w:r>
        <w:rPr>
          <w:rFonts w:ascii="맑은 고딕" w:hAnsi="맑은 고딕" w:eastAsia="맑은 고딕"/>
          <w:b w:val="0"/>
          <w:sz w:val="22"/>
        </w:rPr>
        <w:t>- 3계층(L1/L2/L3) 비의료 신호를 독립 수집·Min-Max 정규화(0-100)하여 단일 composite 점수로 융합</w:t>
      </w:r>
    </w:p>
    <w:p>
      <w:pPr>
        <w:spacing w:after="60"/>
        <w:ind w:left="567" w:hanging="283"/>
      </w:pPr>
      <w:r>
        <w:rPr>
          <w:rFonts w:ascii="맑은 고딕" w:hAnsi="맑은 고딕" w:eastAsia="맑은 고딕"/>
          <w:b w:val="0"/>
          <w:sz w:val="22"/>
        </w:rPr>
        <w:t>- composite 점수 + Gate B 규칙 결합 2단계 경보 시스템: GREEN(composite&lt;30) / YELLOW(30~75) / RED(≥75)</w:t>
      </w:r>
    </w:p>
    <w:p>
      <w:pPr>
        <w:spacing w:after="60"/>
        <w:ind w:left="567" w:hanging="283"/>
      </w:pPr>
      <w:r>
        <w:rPr>
          <w:rFonts w:ascii="맑은 고딕" w:hAnsi="맑은 고딕" w:eastAsia="맑은 고딕"/>
          <w:b w:val="0"/>
          <w:sz w:val="22"/>
        </w:rPr>
        <w:t>- XGBoost 앙상블(주모델) + TFT 7/14/21일 시계열 예측(보조) + Autoencoder 이상탐지의 3중 ML 파이프라인</w:t>
      </w:r>
    </w:p>
    <w:p>
      <w:pPr>
        <w:spacing w:after="60"/>
        <w:ind w:left="567" w:hanging="283"/>
      </w:pPr>
      <w:r>
        <w:rPr>
          <w:rFonts w:ascii="맑은 고딕" w:hAnsi="맑은 고딕" w:eastAsia="맑은 고딕"/>
          <w:b w:val="0"/>
          <w:sz w:val="22"/>
        </w:rPr>
        <w:t>- FastAPI REST API(:8001) + Next.js 대시보드 + SSE 실시간 경보 스트림으로 B2G 납품 가능한 웹 서비스 완성</w:t>
      </w:r>
    </w:p>
    <w:p>
      <w:pPr>
        <w:spacing w:after="60"/>
        <w:ind w:left="567" w:hanging="283"/>
      </w:pPr>
      <w:r>
        <w:rPr>
          <w:rFonts w:ascii="맑은 고딕" w:hAnsi="맑은 고딕" w:eastAsia="맑은 고딕"/>
          <w:b w:val="0"/>
          <w:sz w:val="22"/>
        </w:rPr>
        <w:t>- RAG(검색 증강 생성) 기반 Claude Haiku 자연어 경보 리포트 자동 생성으로 비전문가 보건당국 활용 지원</w:t>
      </w:r>
    </w:p>
    <w:p>
      <w:pPr>
        <w:spacing w:before="120" w:after="80"/>
      </w:pPr>
      <w:r>
        <w:rPr>
          <w:rFonts w:ascii="맑은 고딕" w:hAnsi="맑은 고딕" w:eastAsia="맑은 고딕"/>
          <w:b/>
          <w:sz w:val="24"/>
        </w:rPr>
        <w:t>마. 작품(프로젝트)의 특징 및 기대효과</w:t>
      </w:r>
    </w:p>
    <w:p>
      <w:pPr>
        <w:spacing w:before="0" w:after="60"/>
        <w:ind w:left="283"/>
      </w:pPr>
      <w:r>
        <w:rPr>
          <w:rFonts w:ascii="맑은 고딕" w:hAnsi="맑은 고딕" w:eastAsia="맑은 고딕"/>
          <w:b/>
          <w:sz w:val="22"/>
        </w:rPr>
        <w:t>1) 작품(프로젝트)의 특징</w:t>
      </w:r>
    </w:p>
    <w:p>
      <w:pPr>
        <w:spacing w:after="60"/>
        <w:ind w:left="567" w:hanging="283"/>
      </w:pPr>
      <w:r>
        <w:rPr>
          <w:rFonts w:ascii="맑은 고딕" w:hAnsi="맑은 고딕" w:eastAsia="맑은 고딕"/>
          <w:b w:val="0"/>
          <w:sz w:val="22"/>
        </w:rPr>
        <w:t>- 3계층 비의료 신호 통합: 임상 데이터 없이 OTC 구매·하수 바이러스·검색 트렌드만으로 조기경보 → 기존 2계층 선행연구 대비 신호 다양성 확보</w:t>
      </w:r>
    </w:p>
    <w:p>
      <w:pPr>
        <w:spacing w:after="60"/>
        <w:ind w:left="567" w:hanging="283"/>
      </w:pPr>
      <w:r>
        <w:rPr>
          <w:rFonts w:ascii="맑은 고딕" w:hAnsi="맑은 고딕" w:eastAsia="맑은 고딕"/>
          <w:b w:val="0"/>
          <w:sz w:val="22"/>
        </w:rPr>
        <w:t>- Gate B 교차검증 규칙: 2-of-3 신호 동시 초과 시에만 경보 발령 → FAR 58.5% 감소(0.602→0.250), Recall −2.4%의 최적 trade-off</w:t>
      </w:r>
    </w:p>
    <w:p>
      <w:pPr>
        <w:spacing w:after="60"/>
        <w:ind w:left="567" w:hanging="283"/>
      </w:pPr>
      <w:r>
        <w:rPr>
          <w:rFonts w:ascii="맑은 고딕" w:hAnsi="맑은 고딕" w:eastAsia="맑은 고딕"/>
          <w:b w:val="0"/>
          <w:sz w:val="22"/>
        </w:rPr>
        <w:t>- 지역별 임계값 차등 보정: 약신호 지역(충북·대구·경북) 별도 임계값 설정으로 알고리즘 수정 없이 recall 향상 (충북 0.529→0.941)</w:t>
      </w:r>
    </w:p>
    <w:p>
      <w:pPr>
        <w:spacing w:after="60"/>
        <w:ind w:left="567" w:hanging="283"/>
      </w:pPr>
      <w:r>
        <w:rPr>
          <w:rFonts w:ascii="맑은 고딕" w:hAnsi="맑은 고딕" w:eastAsia="맑은 고딕"/>
          <w:b w:val="0"/>
          <w:sz w:val="22"/>
        </w:rPr>
        <w:t>- RAG 자연어 리포트: Qdrant 벡터 검색 + Claude Haiku로 경보 발령 근거를 비전문가도 이해 가능한 보고서로 자동 생성</w:t>
      </w:r>
    </w:p>
    <w:p>
      <w:pPr>
        <w:spacing w:after="60"/>
        <w:ind w:left="567" w:hanging="283"/>
      </w:pPr>
      <w:r>
        <w:rPr>
          <w:rFonts w:ascii="맑은 고딕" w:hAnsi="맑은 고딕" w:eastAsia="맑은 고딕"/>
          <w:b w:val="0"/>
          <w:sz w:val="22"/>
        </w:rPr>
        <w:t>- 보안 강화 설계: Docker 포트 loopback화, nginx CORS 화이트리스트, production CSP 엄격화, K8s SecurityContext 완비</w:t>
      </w:r>
    </w:p>
    <w:p>
      <w:pPr>
        <w:spacing w:before="80" w:after="60"/>
        <w:ind w:left="283"/>
      </w:pPr>
      <w:r>
        <w:rPr>
          <w:rFonts w:ascii="맑은 고딕" w:hAnsi="맑은 고딕" w:eastAsia="맑은 고딕"/>
          <w:b/>
          <w:sz w:val="22"/>
        </w:rPr>
        <w:t>2) 기대효과</w:t>
      </w:r>
    </w:p>
    <w:p>
      <w:pPr>
        <w:spacing w:after="60"/>
        <w:ind w:left="567" w:hanging="283"/>
      </w:pPr>
      <w:r>
        <w:rPr>
          <w:rFonts w:ascii="맑은 고딕" w:hAnsi="맑은 고딕" w:eastAsia="맑은 고딕"/>
          <w:b w:val="0"/>
          <w:sz w:val="22"/>
        </w:rPr>
        <w:t>- 보건당국의 감염병 유행 인지 시점을 기존 임상 확진 대비 평균 6.47주 앞당겨 선제적 격리·방역 대응 가능</w:t>
      </w:r>
    </w:p>
    <w:p>
      <w:pPr>
        <w:spacing w:after="60"/>
        <w:ind w:left="567" w:hanging="283"/>
      </w:pPr>
      <w:r>
        <w:rPr>
          <w:rFonts w:ascii="맑은 고딕" w:hAnsi="맑은 고딕" w:eastAsia="맑은 고딕"/>
          <w:b w:val="0"/>
          <w:sz w:val="22"/>
        </w:rPr>
        <w:t>- 하수·약국·검색 등 기존에 활용되지 않던 비의료 공개 데이터를 공중보건에 재활용하는 신패러다임 제시</w:t>
      </w:r>
    </w:p>
    <w:p>
      <w:pPr>
        <w:spacing w:after="60"/>
        <w:ind w:left="567" w:hanging="283"/>
      </w:pPr>
      <w:r>
        <w:rPr>
          <w:rFonts w:ascii="맑은 고딕" w:hAnsi="맑은 고딕" w:eastAsia="맑은 고딕"/>
          <w:b w:val="0"/>
          <w:sz w:val="22"/>
        </w:rPr>
        <w:t>- 오경보율 58.5% 감소로 불필요한 사회적 비용(격리·검사·경보 알림) 절감 기여</w:t>
      </w:r>
    </w:p>
    <w:p>
      <w:pPr>
        <w:spacing w:after="60"/>
        <w:ind w:left="567" w:hanging="283"/>
      </w:pPr>
      <w:r>
        <w:rPr>
          <w:rFonts w:ascii="맑은 고딕" w:hAnsi="맑은 고딕" w:eastAsia="맑은 고딕"/>
          <w:b w:val="0"/>
          <w:sz w:val="22"/>
        </w:rPr>
        <w:t>- 인플루엔자 외 노로바이러스·RSV·COVID-19 등 다병원체 확장 가능한 플랫폼 구조로 범용성 확보</w:t>
      </w:r>
    </w:p>
    <w:p>
      <w:pPr>
        <w:spacing w:after="60"/>
        <w:ind w:left="567" w:hanging="283"/>
      </w:pPr>
      <w:r>
        <w:rPr>
          <w:rFonts w:ascii="맑은 고딕" w:hAnsi="맑은 고딕" w:eastAsia="맑은 고딕"/>
          <w:b w:val="0"/>
          <w:sz w:val="22"/>
        </w:rPr>
        <w:t>- 학부 캡스톤 수준의 공개 API 기반 구현으로 저비용 공공 감염병 감시 시스템 모델 제시 및 특허 출원 추진</w:t>
      </w:r>
    </w:p>
    <w:p>
      <w:pPr>
        <w:spacing w:before="120" w:after="80"/>
      </w:pPr>
      <w:r>
        <w:rPr>
          <w:rFonts w:ascii="맑은 고딕" w:hAnsi="맑은 고딕" w:eastAsia="맑은 고딕"/>
          <w:b/>
          <w:sz w:val="24"/>
        </w:rPr>
        <w:t>바. 팀원의 구성 및 역할 분담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fill="BDD7EE" w:val="clear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NO</w:t>
            </w:r>
          </w:p>
        </w:tc>
        <w:tc>
          <w:tcPr>
            <w:tcW w:type="dxa" w:w="2280"/>
            <w:shd w:fill="BDD7EE" w:val="clear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학번</w:t>
            </w:r>
          </w:p>
        </w:tc>
        <w:tc>
          <w:tcPr>
            <w:tcW w:type="dxa" w:w="2280"/>
            <w:shd w:fill="BDD7EE" w:val="clear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성명</w:t>
            </w:r>
          </w:p>
        </w:tc>
        <w:tc>
          <w:tcPr>
            <w:tcW w:type="dxa" w:w="2280"/>
            <w:shd w:fill="BDD7EE" w:val="clear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담당역할 / 담당 업무</w:t>
            </w:r>
          </w:p>
        </w:tc>
      </w:tr>
      <w:tr>
        <w:tc>
          <w:tcPr>
            <w:tcW w:type="dxa" w:w="2280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1</w:t>
            </w:r>
          </w:p>
        </w:tc>
        <w:tc>
          <w:tcPr>
            <w:tcW w:type="dxa" w:w="2280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○○○○○○</w:t>
            </w:r>
          </w:p>
        </w:tc>
        <w:tc>
          <w:tcPr>
            <w:tcW w:type="dxa" w:w="2280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이경준</w:t>
            </w:r>
          </w:p>
        </w:tc>
        <w:tc>
          <w:tcPr>
            <w:tcW w:type="dxa" w:w="2280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팀장 / Backend (FastAPI·DB·라우터 17개), 전문가 자문 연락, 특허 출원</w:t>
            </w:r>
          </w:p>
        </w:tc>
      </w:tr>
      <w:tr>
        <w:tc>
          <w:tcPr>
            <w:tcW w:type="dxa" w:w="2280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2</w:t>
            </w:r>
          </w:p>
        </w:tc>
        <w:tc>
          <w:tcPr>
            <w:tcW w:type="dxa" w:w="2280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○○○○○○</w:t>
            </w:r>
          </w:p>
        </w:tc>
        <w:tc>
          <w:tcPr>
            <w:tcW w:type="dxa" w:w="2280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박진영</w:t>
            </w:r>
          </w:p>
        </w:tc>
        <w:tc>
          <w:tcPr>
            <w:tcW w:type="dxa" w:w="2280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PM·ML Lead / 전체 아키텍처 총괄, XGBoost·TFT·Autoencoder, RAG, 발표자료</w:t>
            </w:r>
          </w:p>
        </w:tc>
      </w:tr>
      <w:tr>
        <w:tc>
          <w:tcPr>
            <w:tcW w:type="dxa" w:w="2280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3</w:t>
            </w:r>
          </w:p>
        </w:tc>
        <w:tc>
          <w:tcPr>
            <w:tcW w:type="dxa" w:w="2280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○○○○○○</w:t>
            </w:r>
          </w:p>
        </w:tc>
        <w:tc>
          <w:tcPr>
            <w:tcW w:type="dxa" w:w="2280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이우형</w:t>
            </w:r>
          </w:p>
        </w:tc>
        <w:tc>
          <w:tcPr>
            <w:tcW w:type="dxa" w:w="2280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Data Engineer / L1·L2·L3 수집기, Kafka 파이프라인, KOWAS Selenium 자동화</w:t>
            </w:r>
          </w:p>
        </w:tc>
      </w:tr>
      <w:tr>
        <w:tc>
          <w:tcPr>
            <w:tcW w:type="dxa" w:w="2280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4</w:t>
            </w:r>
          </w:p>
        </w:tc>
        <w:tc>
          <w:tcPr>
            <w:tcW w:type="dxa" w:w="2280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○○○○○○</w:t>
            </w:r>
          </w:p>
        </w:tc>
        <w:tc>
          <w:tcPr>
            <w:tcW w:type="dxa" w:w="2280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김나영</w:t>
            </w:r>
          </w:p>
        </w:tc>
        <w:tc>
          <w:tcPr>
            <w:tcW w:type="dxa" w:w="2280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Frontend / Next.js 대시보드, Deck.gl 지도, SSE 경보 시각화, PDF 리포트</w:t>
            </w:r>
          </w:p>
        </w:tc>
      </w:tr>
      <w:tr>
        <w:tc>
          <w:tcPr>
            <w:tcW w:type="dxa" w:w="2280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5</w:t>
            </w:r>
          </w:p>
        </w:tc>
        <w:tc>
          <w:tcPr>
            <w:tcW w:type="dxa" w:w="2280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○○○○○○</w:t>
            </w:r>
          </w:p>
        </w:tc>
        <w:tc>
          <w:tcPr>
            <w:tcW w:type="dxa" w:w="2280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박정빈</w:t>
            </w:r>
          </w:p>
        </w:tc>
        <w:tc>
          <w:tcPr>
            <w:tcW w:type="dxa" w:w="2280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DevOps·QA / CI·K8s·systemd, Docker 보안, pytest 단위 113건+통합 19건</w:t>
            </w:r>
          </w:p>
        </w:tc>
      </w:tr>
    </w:tbl>
    <w:p>
      <w:pPr>
        <w:spacing w:before="120" w:after="80"/>
      </w:pPr>
      <w:r>
        <w:rPr>
          <w:rFonts w:ascii="맑은 고딕" w:hAnsi="맑은 고딕" w:eastAsia="맑은 고딕"/>
          <w:b/>
          <w:sz w:val="24"/>
        </w:rPr>
        <w:t>사. 추진기간</w:t>
      </w:r>
    </w:p>
    <w:p>
      <w:pPr>
        <w:spacing w:before="0" w:after="60"/>
        <w:ind w:left="283"/>
      </w:pPr>
      <w:r>
        <w:rPr>
          <w:rFonts w:ascii="맑은 고딕" w:hAnsi="맑은 고딕" w:eastAsia="맑은 고딕"/>
          <w:b w:val="0"/>
          <w:sz w:val="22"/>
        </w:rPr>
        <w:t>1) 전체 추진일정: 2026년 3월 2일 ~ 2026년 6월 14일</w:t>
      </w:r>
    </w:p>
    <w:p>
      <w:pPr>
        <w:spacing w:before="40" w:after="80"/>
        <w:ind w:left="283"/>
      </w:pPr>
      <w:r>
        <w:rPr>
          <w:rFonts w:ascii="맑은 고딕" w:hAnsi="맑은 고딕" w:eastAsia="맑은 고딕"/>
          <w:b w:val="0"/>
          <w:sz w:val="22"/>
        </w:rPr>
        <w:t>2) 추진항목별 일정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4"/>
        <w:gridCol w:w="1014"/>
        <w:gridCol w:w="1014"/>
        <w:gridCol w:w="1014"/>
        <w:gridCol w:w="1014"/>
        <w:gridCol w:w="1014"/>
        <w:gridCol w:w="1014"/>
        <w:gridCol w:w="1014"/>
        <w:gridCol w:w="1014"/>
      </w:tblGrid>
      <w:tr>
        <w:tc>
          <w:tcPr>
            <w:tcW w:type="dxa" w:w="1014"/>
            <w:shd w:fill="BDD7EE" w:val="clear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/>
                <w:sz w:val="18"/>
              </w:rPr>
              <w:t>추진항목</w:t>
            </w:r>
          </w:p>
        </w:tc>
        <w:tc>
          <w:tcPr>
            <w:tcW w:type="dxa" w:w="1014"/>
            <w:shd w:fill="BDD7EE" w:val="clear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/>
                <w:sz w:val="18"/>
              </w:rPr>
              <w:t>1~2주</w:t>
            </w:r>
          </w:p>
        </w:tc>
        <w:tc>
          <w:tcPr>
            <w:tcW w:type="dxa" w:w="1014"/>
            <w:shd w:fill="BDD7EE" w:val="clear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/>
                <w:sz w:val="18"/>
              </w:rPr>
              <w:t>3~4주</w:t>
            </w:r>
          </w:p>
        </w:tc>
        <w:tc>
          <w:tcPr>
            <w:tcW w:type="dxa" w:w="1014"/>
            <w:shd w:fill="BDD7EE" w:val="clear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/>
                <w:sz w:val="18"/>
              </w:rPr>
              <w:t>5~6주</w:t>
            </w:r>
          </w:p>
        </w:tc>
        <w:tc>
          <w:tcPr>
            <w:tcW w:type="dxa" w:w="1014"/>
            <w:shd w:fill="BDD7EE" w:val="clear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/>
                <w:sz w:val="18"/>
              </w:rPr>
              <w:t>7~8주</w:t>
            </w:r>
          </w:p>
        </w:tc>
        <w:tc>
          <w:tcPr>
            <w:tcW w:type="dxa" w:w="1014"/>
            <w:shd w:fill="BDD7EE" w:val="clear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/>
                <w:sz w:val="18"/>
              </w:rPr>
              <w:t>9~10주</w:t>
            </w:r>
          </w:p>
        </w:tc>
        <w:tc>
          <w:tcPr>
            <w:tcW w:type="dxa" w:w="1014"/>
            <w:shd w:fill="BDD7EE" w:val="clear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/>
                <w:sz w:val="18"/>
              </w:rPr>
              <w:t>11~12주</w:t>
            </w:r>
          </w:p>
        </w:tc>
        <w:tc>
          <w:tcPr>
            <w:tcW w:type="dxa" w:w="1014"/>
            <w:shd w:fill="BDD7EE" w:val="clear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/>
                <w:sz w:val="18"/>
              </w:rPr>
              <w:t>13~14주</w:t>
            </w:r>
          </w:p>
        </w:tc>
        <w:tc>
          <w:tcPr>
            <w:tcW w:type="dxa" w:w="1014"/>
            <w:shd w:fill="BDD7EE" w:val="clear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/>
                <w:sz w:val="18"/>
              </w:rPr>
              <w:t>진척도</w:t>
            </w:r>
          </w:p>
        </w:tc>
      </w:tr>
      <w:tr>
        <w:tc>
          <w:tcPr>
            <w:tcW w:type="dxa" w:w="101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프로젝트 계획·요구사항 분석</w:t>
            </w:r>
          </w:p>
        </w:tc>
        <w:tc>
          <w:tcPr>
            <w:tcW w:type="dxa" w:w="1014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  <w:t>●</w:t>
            </w:r>
          </w:p>
        </w:tc>
        <w:tc>
          <w:tcPr>
            <w:tcW w:type="dxa" w:w="1014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014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014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014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014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014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014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  <w:t>완료</w:t>
            </w:r>
          </w:p>
        </w:tc>
      </w:tr>
      <w:tr>
        <w:tc>
          <w:tcPr>
            <w:tcW w:type="dxa" w:w="101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기본 설계</w:t>
            </w:r>
          </w:p>
        </w:tc>
        <w:tc>
          <w:tcPr>
            <w:tcW w:type="dxa" w:w="1014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014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  <w:t>●</w:t>
            </w:r>
          </w:p>
        </w:tc>
        <w:tc>
          <w:tcPr>
            <w:tcW w:type="dxa" w:w="1014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  <w:t>●</w:t>
            </w:r>
          </w:p>
        </w:tc>
        <w:tc>
          <w:tcPr>
            <w:tcW w:type="dxa" w:w="1014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014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014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014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014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  <w:t>완료</w:t>
            </w:r>
          </w:p>
        </w:tc>
      </w:tr>
      <w:tr>
        <w:tc>
          <w:tcPr>
            <w:tcW w:type="dxa" w:w="101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상세 설계</w:t>
            </w:r>
          </w:p>
        </w:tc>
        <w:tc>
          <w:tcPr>
            <w:tcW w:type="dxa" w:w="1014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014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014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  <w:t>●</w:t>
            </w:r>
          </w:p>
        </w:tc>
        <w:tc>
          <w:tcPr>
            <w:tcW w:type="dxa" w:w="1014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  <w:t>●</w:t>
            </w:r>
          </w:p>
        </w:tc>
        <w:tc>
          <w:tcPr>
            <w:tcW w:type="dxa" w:w="1014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014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014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014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  <w:t>완료</w:t>
            </w:r>
          </w:p>
        </w:tc>
      </w:tr>
      <w:tr>
        <w:tc>
          <w:tcPr>
            <w:tcW w:type="dxa" w:w="101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구현 (Phase 1·2 전체)</w:t>
            </w:r>
          </w:p>
        </w:tc>
        <w:tc>
          <w:tcPr>
            <w:tcW w:type="dxa" w:w="1014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014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  <w:t>●</w:t>
            </w:r>
          </w:p>
        </w:tc>
        <w:tc>
          <w:tcPr>
            <w:tcW w:type="dxa" w:w="1014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  <w:t>●</w:t>
            </w:r>
          </w:p>
        </w:tc>
        <w:tc>
          <w:tcPr>
            <w:tcW w:type="dxa" w:w="1014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  <w:t>●</w:t>
            </w:r>
          </w:p>
        </w:tc>
        <w:tc>
          <w:tcPr>
            <w:tcW w:type="dxa" w:w="1014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014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014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014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  <w:t>완료</w:t>
            </w:r>
          </w:p>
        </w:tc>
      </w:tr>
      <w:tr>
        <w:tc>
          <w:tcPr>
            <w:tcW w:type="dxa" w:w="101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단위 시험 (pytest 113+19건)</w:t>
            </w:r>
          </w:p>
        </w:tc>
        <w:tc>
          <w:tcPr>
            <w:tcW w:type="dxa" w:w="1014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014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014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014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  <w:t>●</w:t>
            </w:r>
          </w:p>
        </w:tc>
        <w:tc>
          <w:tcPr>
            <w:tcW w:type="dxa" w:w="1014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  <w:t>●</w:t>
            </w:r>
          </w:p>
        </w:tc>
        <w:tc>
          <w:tcPr>
            <w:tcW w:type="dxa" w:w="1014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014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014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  <w:t>완료</w:t>
            </w:r>
          </w:p>
        </w:tc>
      </w:tr>
      <w:tr>
        <w:tc>
          <w:tcPr>
            <w:tcW w:type="dxa" w:w="101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통합 시험 (17지역 walk-forward)</w:t>
            </w:r>
          </w:p>
        </w:tc>
        <w:tc>
          <w:tcPr>
            <w:tcW w:type="dxa" w:w="1014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014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014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014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014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  <w:t>●</w:t>
            </w:r>
          </w:p>
        </w:tc>
        <w:tc>
          <w:tcPr>
            <w:tcW w:type="dxa" w:w="1014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014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014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  <w:t>완료</w:t>
            </w:r>
          </w:p>
        </w:tc>
      </w:tr>
      <w:tr>
        <w:tc>
          <w:tcPr>
            <w:tcW w:type="dxa" w:w="101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Phase 3 보완 (보안·안정화·자문)</w:t>
            </w:r>
          </w:p>
        </w:tc>
        <w:tc>
          <w:tcPr>
            <w:tcW w:type="dxa" w:w="1014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014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014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014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014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014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  <w:t>●</w:t>
            </w:r>
          </w:p>
        </w:tc>
        <w:tc>
          <w:tcPr>
            <w:tcW w:type="dxa" w:w="1014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  <w:t>●</w:t>
            </w:r>
          </w:p>
        </w:tc>
        <w:tc>
          <w:tcPr>
            <w:tcW w:type="dxa" w:w="1014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  <w:t>진행 중</w:t>
            </w:r>
          </w:p>
        </w:tc>
      </w:tr>
      <w:tr>
        <w:tc>
          <w:tcPr>
            <w:tcW w:type="dxa" w:w="101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마무리 (최종 발표·보고서)</w:t>
            </w:r>
          </w:p>
        </w:tc>
        <w:tc>
          <w:tcPr>
            <w:tcW w:type="dxa" w:w="1014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014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014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014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014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014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014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  <w:t>●</w:t>
            </w:r>
          </w:p>
        </w:tc>
        <w:tc>
          <w:tcPr>
            <w:tcW w:type="dxa" w:w="1014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  <w:t>완료</w:t>
            </w:r>
          </w:p>
        </w:tc>
      </w:tr>
    </w:tbl>
    <w:p>
      <w:r>
        <w:br w:type="page"/>
      </w:r>
    </w:p>
    <w:p>
      <w:pPr>
        <w:spacing w:before="120" w:after="80"/>
      </w:pPr>
      <w:r>
        <w:rPr>
          <w:rFonts w:ascii="맑은 고딕" w:hAnsi="맑은 고딕" w:eastAsia="맑은 고딕"/>
          <w:b/>
          <w:sz w:val="28"/>
        </w:rPr>
        <w:t>2. 작품(프로젝트)의 설계</w:t>
      </w:r>
    </w:p>
    <w:p>
      <w:pPr>
        <w:spacing w:before="0" w:after="80"/>
      </w:pPr>
      <w:r>
        <w:rPr>
          <w:rFonts w:ascii="맑은 고딕" w:hAnsi="맑은 고딕" w:eastAsia="맑은 고딕"/>
          <w:b/>
          <w:sz w:val="24"/>
        </w:rPr>
        <w:t>가. 설계 개요</w:t>
      </w:r>
    </w:p>
    <w:p>
      <w:pPr>
        <w:spacing w:after="60"/>
        <w:ind w:left="567" w:hanging="283"/>
      </w:pPr>
      <w:r>
        <w:rPr>
          <w:rFonts w:ascii="맑은 고딕" w:hAnsi="맑은 고딕" w:eastAsia="맑은 고딕"/>
          <w:b w:val="0"/>
          <w:sz w:val="22"/>
        </w:rPr>
        <w:t>- pipeline/ → Kafka 스트리밍 → TimescaleDB 저장 → ml/ 추론 → backend/ FastAPI API → frontend/ Next.js 대시보드의 end-to-end 아키텍처</w:t>
      </w:r>
    </w:p>
    <w:p>
      <w:pPr>
        <w:spacing w:after="60"/>
        <w:ind w:left="567" w:hanging="283"/>
      </w:pPr>
      <w:r>
        <w:rPr>
          <w:rFonts w:ascii="맑은 고딕" w:hAnsi="맑은 고딕" w:eastAsia="맑은 고딕"/>
          <w:b w:val="0"/>
          <w:sz w:val="22"/>
        </w:rPr>
        <w:t>- L1(OTC): 네이버 쇼핑인사이트 API, 주 1회(월 09:00), 키워드 5종(감기약·해열제·종합감기약·타이레놀·판콜)</w:t>
      </w:r>
    </w:p>
    <w:p>
      <w:pPr>
        <w:spacing w:after="60"/>
        <w:ind w:left="567" w:hanging="283"/>
      </w:pPr>
      <w:r>
        <w:rPr>
          <w:rFonts w:ascii="맑은 고딕" w:hAnsi="맑은 고딕" w:eastAsia="맑은 고딕"/>
          <w:b w:val="0"/>
          <w:sz w:val="22"/>
        </w:rPr>
        <w:t>- L2(하수): KOWAS 주간 PDF 파싱·Selenium 자동화(Phase 3), 주 1회(화 10:00), 인플루엔자 RT-PCR copies/mL</w:t>
      </w:r>
    </w:p>
    <w:p>
      <w:pPr>
        <w:spacing w:after="60"/>
        <w:ind w:left="567" w:hanging="283"/>
      </w:pPr>
      <w:r>
        <w:rPr>
          <w:rFonts w:ascii="맑은 고딕" w:hAnsi="맑은 고딕" w:eastAsia="맑은 고딕"/>
          <w:b w:val="0"/>
          <w:sz w:val="22"/>
        </w:rPr>
        <w:t>- L3(검색): 네이버 DataLab API, 주 1회(월 09:05), 키워드 5종(독감 증상·인플루엔자·타미플루·고열 원인·몸살 원인)</w:t>
      </w:r>
    </w:p>
    <w:p>
      <w:pPr>
        <w:spacing w:after="60"/>
        <w:ind w:left="567" w:hanging="283"/>
      </w:pPr>
      <w:r>
        <w:rPr>
          <w:rFonts w:ascii="맑은 고딕" w:hAnsi="맑은 고딕" w:eastAsia="맑은 고딕"/>
          <w:b w:val="0"/>
          <w:sz w:val="22"/>
        </w:rPr>
        <w:t>- 모든 신호 Min-Max 정규화(0-100) 후 TimescaleDB 하이퍼테이블(파티션: weekly) 적재, 이상 시 ntfy.sh + GitHub Issue 이중 알림</w:t>
      </w:r>
    </w:p>
    <w:p>
      <w:pPr>
        <w:spacing w:before="120" w:after="80"/>
      </w:pPr>
      <w:r>
        <w:rPr>
          <w:rFonts w:ascii="맑은 고딕" w:hAnsi="맑은 고딕" w:eastAsia="맑은 고딕"/>
          <w:b/>
          <w:sz w:val="24"/>
        </w:rPr>
        <w:t>나. 상세 설계</w:t>
      </w:r>
    </w:p>
    <w:p>
      <w:pPr>
        <w:spacing w:after="60"/>
        <w:ind w:left="567" w:hanging="283"/>
      </w:pPr>
      <w:r>
        <w:rPr>
          <w:rFonts w:ascii="맑은 고딕" w:hAnsi="맑은 고딕" w:eastAsia="맑은 고딕"/>
          <w:b w:val="0"/>
          <w:sz w:val="22"/>
        </w:rPr>
        <w:t>- 앙상블 경보 점수: composite = 0.35×L1 + 0.40×L2 + 0.25×L3  (L2 가중치 최대 — 선행성 2~3주로 가장 빠름)</w:t>
      </w:r>
    </w:p>
    <w:p>
      <w:pPr>
        <w:spacing w:after="60"/>
        <w:ind w:left="567" w:hanging="283"/>
      </w:pPr>
      <w:r>
        <w:rPr>
          <w:rFonts w:ascii="맑은 고딕" w:hAnsi="맑은 고딕" w:eastAsia="맑은 고딕"/>
          <w:b w:val="0"/>
          <w:sz w:val="22"/>
        </w:rPr>
        <w:t>- Gate B 규칙: 3개 신호 중 2개 이상이 임계값(30 이상) 초과 시에만 YELLOW/RED 경보 발령, 단독 신호는 최대 YELLOW 미만</w:t>
      </w:r>
    </w:p>
    <w:p>
      <w:pPr>
        <w:spacing w:after="60"/>
        <w:ind w:left="567" w:hanging="283"/>
      </w:pPr>
      <w:r>
        <w:rPr>
          <w:rFonts w:ascii="맑은 고딕" w:hAnsi="맑은 고딕" w:eastAsia="맑은 고딕"/>
          <w:b w:val="0"/>
          <w:sz w:val="22"/>
        </w:rPr>
        <w:t>- ML 모델 3종: XGBoost 앙상블(주모델, F1=0.907/AUPRC=0.973), TFT 7/14/21일 예측(PoC, 데이터 누적 후 재학습 예정), Autoencoder 이상탐지(99p 임계값, 17지역 1/17 오탐)</w:t>
      </w:r>
    </w:p>
    <w:p>
      <w:pPr>
        <w:spacing w:after="60"/>
        <w:ind w:left="567" w:hanging="283"/>
      </w:pPr>
      <w:r>
        <w:rPr>
          <w:rFonts w:ascii="맑은 고딕" w:hAnsi="맑은 고딕" w:eastAsia="맑은 고딕"/>
          <w:b w:val="0"/>
          <w:sz w:val="22"/>
        </w:rPr>
        <w:t>- 지역별 임계값 보정: 충북·대구·경북 composite 임계값 하향 조정 → 충북 recall 0.529→0.941 향상</w:t>
      </w:r>
    </w:p>
    <w:p>
      <w:pPr>
        <w:spacing w:after="60"/>
        <w:ind w:left="567" w:hanging="283"/>
      </w:pPr>
      <w:r>
        <w:rPr>
          <w:rFonts w:ascii="맑은 고딕" w:hAnsi="맑은 고딕" w:eastAsia="맑은 고딕"/>
          <w:b w:val="0"/>
          <w:sz w:val="22"/>
        </w:rPr>
        <w:t>- 보안 설계: Docker 포트 127.0.0.1 loopback화(외부 노출 차단), nginx 리버스프록시 외부 접근, CORS allow_origins 화이트리스트, CSP 엄격화, K8s runAsNonRoot + readOnlyRootFilesystem</w:t>
      </w:r>
    </w:p>
    <w:p>
      <w:pPr>
        <w:spacing w:before="120" w:after="80"/>
      </w:pPr>
      <w:r>
        <w:rPr>
          <w:rFonts w:ascii="맑은 고딕" w:hAnsi="맑은 고딕" w:eastAsia="맑은 고딕"/>
          <w:b/>
          <w:sz w:val="24"/>
        </w:rPr>
        <w:t>다. 구성도 및 제작도</w:t>
      </w:r>
    </w:p>
    <w:p>
      <w:pPr>
        <w:spacing w:after="120"/>
        <w:ind w:left="283"/>
      </w:pPr>
      <w:r>
        <w:rPr>
          <w:rFonts w:ascii="Courier New" w:hAnsi="Courier New"/>
          <w:sz w:val="18"/>
        </w:rPr>
        <w:t>[수집]              [스트리밍/저장]          [추론]                [전달]</w:t>
        <w:br/>
        <w:t>L1 OTC Naver  ─┐                         XGBoost (F1=0.907)</w:t>
        <w:br/>
        <w:t>L2 KOWAS PDF  ─┼─→  Kafka KRaft  ─→  Gate B 교차검증  ─→  FastAPI :8001</w:t>
        <w:br/>
        <w:t xml:space="preserve">  (Selenium)  ─┘    TimescaleDB          Region-tiered 보정     SSE Alerts</w:t>
        <w:br/>
        <w:t>L3 Naver Data       (하이퍼테이블)        Anomaly Autoencoder    Next.js Dashboard</w:t>
        <w:br/>
        <w:t xml:space="preserve">                    Qdrant (RAG)           RAG (Claude Haiku)    PDF Report</w:t>
        <w:br/>
        <w:t xml:space="preserve">                    [ntfy.sh 알림]         [TFT PoC 7/14/21일]   [Naver Map SVG]</w:t>
      </w:r>
    </w:p>
    <w:p>
      <w:pPr>
        <w:spacing w:before="120" w:after="80"/>
      </w:pPr>
      <w:r>
        <w:rPr>
          <w:rFonts w:ascii="맑은 고딕" w:hAnsi="맑은 고딕" w:eastAsia="맑은 고딕"/>
          <w:b/>
          <w:sz w:val="24"/>
        </w:rPr>
        <w:t>라. 재료비 산출 및 부품리스트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  <w:shd w:fill="BDD7EE" w:val="clear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/>
                <w:sz w:val="18"/>
              </w:rPr>
              <w:t>NO</w:t>
            </w:r>
          </w:p>
        </w:tc>
        <w:tc>
          <w:tcPr>
            <w:tcW w:type="dxa" w:w="1824"/>
            <w:shd w:fill="BDD7EE" w:val="clear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/>
                <w:sz w:val="18"/>
              </w:rPr>
              <w:t>품명·서비스</w:t>
            </w:r>
          </w:p>
        </w:tc>
        <w:tc>
          <w:tcPr>
            <w:tcW w:type="dxa" w:w="1824"/>
            <w:shd w:fill="BDD7EE" w:val="clear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/>
                <w:sz w:val="18"/>
              </w:rPr>
              <w:t>규격</w:t>
            </w:r>
          </w:p>
        </w:tc>
        <w:tc>
          <w:tcPr>
            <w:tcW w:type="dxa" w:w="1824"/>
            <w:shd w:fill="BDD7EE" w:val="clear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/>
                <w:sz w:val="18"/>
              </w:rPr>
              <w:t>수량</w:t>
            </w:r>
          </w:p>
        </w:tc>
        <w:tc>
          <w:tcPr>
            <w:tcW w:type="dxa" w:w="1824"/>
            <w:shd w:fill="BDD7EE" w:val="clear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/>
                <w:sz w:val="18"/>
              </w:rPr>
              <w:t>금액(원)</w:t>
            </w:r>
          </w:p>
        </w:tc>
      </w:tr>
      <w:tr>
        <w:tc>
          <w:tcPr>
            <w:tcW w:type="dxa" w:w="182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182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Anthropic Claude AI API 크레딧 구매</w:t>
            </w:r>
          </w:p>
        </w:tc>
        <w:tc>
          <w:tcPr>
            <w:tcW w:type="dxa" w:w="182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Claude Haiku — UIS RAG 리포트 생성 모듈 개발·테스트</w:t>
            </w:r>
          </w:p>
        </w:tc>
        <w:tc>
          <w:tcPr>
            <w:tcW w:type="dxa" w:w="182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1회</w:t>
            </w:r>
          </w:p>
        </w:tc>
        <w:tc>
          <w:tcPr>
            <w:tcW w:type="dxa" w:w="182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33,881</w:t>
            </w:r>
          </w:p>
        </w:tc>
      </w:tr>
      <w:tr>
        <w:tc>
          <w:tcPr>
            <w:tcW w:type="dxa" w:w="182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2</w:t>
            </w:r>
          </w:p>
        </w:tc>
        <w:tc>
          <w:tcPr>
            <w:tcW w:type="dxa" w:w="182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팀 대면 회의 식비 — 장백산 (2026-04-30)</w:t>
            </w:r>
          </w:p>
        </w:tc>
        <w:tc>
          <w:tcPr>
            <w:tcW w:type="dxa" w:w="182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팀원 전체 대면 회의 및 프로젝트 진행 상황 점검 후 식사</w:t>
            </w:r>
          </w:p>
        </w:tc>
        <w:tc>
          <w:tcPr>
            <w:tcW w:type="dxa" w:w="182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5명</w:t>
            </w:r>
          </w:p>
        </w:tc>
        <w:tc>
          <w:tcPr>
            <w:tcW w:type="dxa" w:w="182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68,000</w:t>
            </w:r>
          </w:p>
        </w:tc>
      </w:tr>
      <w:tr>
        <w:tc>
          <w:tcPr>
            <w:tcW w:type="dxa" w:w="182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3</w:t>
            </w:r>
          </w:p>
        </w:tc>
        <w:tc>
          <w:tcPr>
            <w:tcW w:type="dxa" w:w="182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팀 대면 회의 식비 — 서울깍두기 (2026-05-08)</w:t>
            </w:r>
          </w:p>
        </w:tc>
        <w:tc>
          <w:tcPr>
            <w:tcW w:type="dxa" w:w="182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팀원 대면 회의 및 점검 (4명, 아침)</w:t>
            </w:r>
          </w:p>
        </w:tc>
        <w:tc>
          <w:tcPr>
            <w:tcW w:type="dxa" w:w="182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4명</w:t>
            </w:r>
          </w:p>
        </w:tc>
        <w:tc>
          <w:tcPr>
            <w:tcW w:type="dxa" w:w="182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69,000</w:t>
            </w:r>
          </w:p>
        </w:tc>
      </w:tr>
      <w:tr>
        <w:tc>
          <w:tcPr>
            <w:tcW w:type="dxa" w:w="182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4</w:t>
            </w:r>
          </w:p>
        </w:tc>
        <w:tc>
          <w:tcPr>
            <w:tcW w:type="dxa" w:w="182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Google Cloud Platform (GCP) 서버 비용 (2026-05-26)</w:t>
            </w:r>
          </w:p>
        </w:tc>
        <w:tc>
          <w:tcPr>
            <w:tcW w:type="dxa" w:w="182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e2-standard-2, Static IP — UIS 시스템 운영 (박진영 학생 계좌이체 결제)</w:t>
            </w:r>
          </w:p>
        </w:tc>
        <w:tc>
          <w:tcPr>
            <w:tcW w:type="dxa" w:w="182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182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131,085</w:t>
            </w:r>
          </w:p>
        </w:tc>
      </w:tr>
      <w:tr>
        <w:tc>
          <w:tcPr>
            <w:tcW w:type="dxa" w:w="182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5</w:t>
            </w:r>
          </w:p>
        </w:tc>
        <w:tc>
          <w:tcPr>
            <w:tcW w:type="dxa" w:w="182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팀 대면 회의 식비 — 다소미김밥집 (2026-05-26)</w:t>
            </w:r>
          </w:p>
        </w:tc>
        <w:tc>
          <w:tcPr>
            <w:tcW w:type="dxa" w:w="182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팀 대면 회의 및 최종 점검 (3명)</w:t>
            </w:r>
          </w:p>
        </w:tc>
        <w:tc>
          <w:tcPr>
            <w:tcW w:type="dxa" w:w="182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3명</w:t>
            </w:r>
          </w:p>
        </w:tc>
        <w:tc>
          <w:tcPr>
            <w:tcW w:type="dxa" w:w="182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23,000</w:t>
            </w:r>
          </w:p>
        </w:tc>
      </w:tr>
      <w:tr>
        <w:tc>
          <w:tcPr>
            <w:tcW w:type="dxa" w:w="182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6</w:t>
            </w:r>
          </w:p>
        </w:tc>
        <w:tc>
          <w:tcPr>
            <w:tcW w:type="dxa" w:w="182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Anthropic API 크레딧 결제 (2026-04-22)</w:t>
            </w:r>
          </w:p>
        </w:tc>
        <w:tc>
          <w:tcPr>
            <w:tcW w:type="dxa" w:w="182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Claude API — RAG 경보 리포트 기능 초기 개발·테스트</w:t>
            </w:r>
          </w:p>
        </w:tc>
        <w:tc>
          <w:tcPr>
            <w:tcW w:type="dxa" w:w="182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1회</w:t>
            </w:r>
          </w:p>
        </w:tc>
        <w:tc>
          <w:tcPr>
            <w:tcW w:type="dxa" w:w="182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9,042</w:t>
            </w:r>
          </w:p>
        </w:tc>
      </w:tr>
      <w:tr>
        <w:tc>
          <w:tcPr>
            <w:tcW w:type="dxa" w:w="1824"/>
            <w:shd w:fill="BDD7EE" w:val="clea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sz w:val="18"/>
              </w:rPr>
              <w:t>합계</w:t>
            </w:r>
          </w:p>
        </w:tc>
        <w:tc>
          <w:tcPr>
            <w:tcW w:type="dxa" w:w="1824"/>
            <w:shd w:fill="BDD7EE" w:val="clea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sz w:val="18"/>
              </w:rPr>
            </w:r>
          </w:p>
        </w:tc>
        <w:tc>
          <w:tcPr>
            <w:tcW w:type="dxa" w:w="1824"/>
            <w:shd w:fill="BDD7EE" w:val="clea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sz w:val="18"/>
              </w:rPr>
            </w:r>
          </w:p>
        </w:tc>
        <w:tc>
          <w:tcPr>
            <w:tcW w:type="dxa" w:w="1824"/>
            <w:shd w:fill="BDD7EE" w:val="clea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sz w:val="18"/>
              </w:rPr>
            </w:r>
          </w:p>
        </w:tc>
        <w:tc>
          <w:tcPr>
            <w:tcW w:type="dxa" w:w="1824"/>
            <w:shd w:fill="BDD7EE" w:val="clea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sz w:val="18"/>
              </w:rPr>
              <w:t>334,008</w:t>
            </w:r>
          </w:p>
        </w:tc>
      </w:tr>
      <w:tr>
        <w:tc>
          <w:tcPr>
            <w:tcW w:type="dxa" w:w="1824"/>
          </w:tcPr>
          <w:p/>
        </w:tc>
        <w:tc>
          <w:tcPr>
            <w:tcW w:type="dxa" w:w="1824"/>
          </w:tcPr>
          <w:p/>
        </w:tc>
        <w:tc>
          <w:tcPr>
            <w:tcW w:type="dxa" w:w="1824"/>
          </w:tcPr>
          <w:p/>
        </w:tc>
        <w:tc>
          <w:tcPr>
            <w:tcW w:type="dxa" w:w="1824"/>
          </w:tcPr>
          <w:p/>
        </w:tc>
        <w:tc>
          <w:tcPr>
            <w:tcW w:type="dxa" w:w="1824"/>
          </w:tcPr>
          <w:p/>
        </w:tc>
      </w:tr>
    </w:tbl>
    <w:p>
      <w:pPr>
        <w:spacing w:before="120" w:after="80"/>
      </w:pPr>
      <w:r>
        <w:rPr>
          <w:rFonts w:ascii="맑은 고딕" w:hAnsi="맑은 고딕" w:eastAsia="맑은 고딕"/>
          <w:b/>
          <w:sz w:val="24"/>
        </w:rPr>
        <w:t>마. 개발과정에 활용한 공학도구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fill="BDD7EE" w:val="clear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/>
                <w:sz w:val="18"/>
              </w:rPr>
              <w:t>사용 도구</w:t>
            </w:r>
          </w:p>
        </w:tc>
        <w:tc>
          <w:tcPr>
            <w:tcW w:type="dxa" w:w="4561"/>
            <w:shd w:fill="BDD7EE" w:val="clear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/>
                <w:sz w:val="18"/>
              </w:rPr>
              <w:t>활용 내역</w:t>
            </w:r>
          </w:p>
        </w:tc>
      </w:tr>
      <w:tr>
        <w:tc>
          <w:tcPr>
            <w:tcW w:type="dxa" w:w="456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Python 3.11 / FastAPI / Pydantic v2 / SQLAlchemy</w:t>
            </w:r>
          </w:p>
        </w:tc>
        <w:tc>
          <w:tcPr>
            <w:tcW w:type="dxa" w:w="456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백엔드 API 서버(17개 라우터), DB ORM, 환경변수 검증, 타입 안전성</w:t>
            </w:r>
          </w:p>
        </w:tc>
      </w:tr>
      <w:tr>
        <w:tc>
          <w:tcPr>
            <w:tcW w:type="dxa" w:w="456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XGBoost / PyTorch Lightning / TFT / Autoencoder</w:t>
            </w:r>
          </w:p>
        </w:tc>
        <w:tc>
          <w:tcPr>
            <w:tcW w:type="dxa" w:w="456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앙상블 경보 모델(주), 7/14/21일 시계열 예측(PoC), 99p 이상탐지</w:t>
            </w:r>
          </w:p>
        </w:tc>
      </w:tr>
      <w:tr>
        <w:tc>
          <w:tcPr>
            <w:tcW w:type="dxa" w:w="456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Apache Kafka KRaft / TimescaleDB / Qdrant</w:t>
            </w:r>
          </w:p>
        </w:tc>
        <w:tc>
          <w:tcPr>
            <w:tcW w:type="dxa" w:w="456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실시간 스트리밍, 시계열 DB 하이퍼테이블(주간 파티션), 벡터 검색</w:t>
            </w:r>
          </w:p>
        </w:tc>
      </w:tr>
      <w:tr>
        <w:tc>
          <w:tcPr>
            <w:tcW w:type="dxa" w:w="456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Next.js 14.2.3 / Deck.gl / Naver Maps / SVG</w:t>
            </w:r>
          </w:p>
        </w:tc>
        <w:tc>
          <w:tcPr>
            <w:tcW w:type="dxa" w:w="456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17개 시·도 지도 대시보드, SSE 실시간 경보 시각화, PDF 리포트</w:t>
            </w:r>
          </w:p>
        </w:tc>
      </w:tr>
      <w:tr>
        <w:tc>
          <w:tcPr>
            <w:tcW w:type="dxa" w:w="456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Docker Compose / nginx / systemd / GCP</w:t>
            </w:r>
          </w:p>
        </w:tc>
        <w:tc>
          <w:tcPr>
            <w:tcW w:type="dxa" w:w="456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로컬 인프라(loopback), 리버스프록시, 서비스 자동 시작, 클라우드 배포</w:t>
            </w:r>
          </w:p>
        </w:tc>
      </w:tr>
      <w:tr>
        <w:tc>
          <w:tcPr>
            <w:tcW w:type="dxa" w:w="456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GitHub Actions CI 6잡 / ruff / mypy / pytest</w:t>
            </w:r>
          </w:p>
        </w:tc>
        <w:tc>
          <w:tcPr>
            <w:tcW w:type="dxa" w:w="456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lint·test·coverage≥35% 자동화, 타입 검사, 단위 113+통합 19건</w:t>
            </w:r>
          </w:p>
        </w:tc>
      </w:tr>
      <w:tr>
        <w:tc>
          <w:tcPr>
            <w:tcW w:type="dxa" w:w="456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Claude Code / Claude Haiku / GPT-4o</w:t>
            </w:r>
          </w:p>
        </w:tc>
        <w:tc>
          <w:tcPr>
            <w:tcW w:type="dxa" w:w="456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개발 보조(코드리뷰·문서), RAG 경보 리포트 생성, 품질 평가</w:t>
            </w:r>
          </w:p>
        </w:tc>
      </w:tr>
      <w:tr>
        <w:tc>
          <w:tcPr>
            <w:tcW w:type="dxa" w:w="456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python-docx / pdfplumber / Selenium</w:t>
            </w:r>
          </w:p>
        </w:tc>
        <w:tc>
          <w:tcPr>
            <w:tcW w:type="dxa" w:w="456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문서 자동화(공문·보고서), KOWAS PDF 파싱, 자동 크롤링(Phase 3)</w:t>
            </w:r>
          </w:p>
        </w:tc>
      </w:tr>
      <w:tr>
        <w:tc>
          <w:tcPr>
            <w:tcW w:type="dxa" w:w="456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ntfy.sh / GitHub Issues (이중 알림)</w:t>
            </w:r>
          </w:p>
        </w:tc>
        <w:tc>
          <w:tcPr>
            <w:tcW w:type="dxa" w:w="456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수집기 silent-fail 즉시 탐지, 장애 이슈 자동 생성</w:t>
            </w:r>
          </w:p>
        </w:tc>
      </w:tr>
    </w:tbl>
    <w:p>
      <w:r>
        <w:br w:type="page"/>
      </w:r>
    </w:p>
    <w:p>
      <w:pPr>
        <w:spacing w:before="120" w:after="80"/>
      </w:pPr>
      <w:r>
        <w:rPr>
          <w:rFonts w:ascii="맑은 고딕" w:hAnsi="맑은 고딕" w:eastAsia="맑은 고딕"/>
          <w:b/>
          <w:sz w:val="28"/>
        </w:rPr>
        <w:t>3. 결론 및 향후 과제</w:t>
      </w:r>
    </w:p>
    <w:p>
      <w:pPr>
        <w:spacing w:before="0" w:after="80"/>
      </w:pPr>
      <w:r>
        <w:rPr>
          <w:rFonts w:ascii="맑은 고딕" w:hAnsi="맑은 고딕" w:eastAsia="맑은 고딕"/>
          <w:b/>
          <w:sz w:val="24"/>
        </w:rPr>
        <w:t>가. 목표구현 정도 평가</w:t>
      </w:r>
    </w:p>
    <w:p>
      <w:pPr>
        <w:spacing w:after="60"/>
        <w:ind w:left="567" w:hanging="283"/>
      </w:pPr>
      <w:r>
        <w:rPr>
          <w:rFonts w:ascii="맑은 고딕" w:hAnsi="맑은 고딕" w:eastAsia="맑은 고딕"/>
          <w:b w:val="0"/>
          <w:sz w:val="22"/>
        </w:rPr>
        <w:t>- 3계층 실데이터 수집 파이프라인 구현 완료 — L1·L3 자동 수집, L2 Selenium 자동화 프로토타입 동작 확인 (Phase 3 정식 전환 예정)</w:t>
      </w:r>
    </w:p>
    <w:p>
      <w:pPr>
        <w:spacing w:after="60"/>
        <w:ind w:left="567" w:hanging="283"/>
      </w:pPr>
      <w:r>
        <w:rPr>
          <w:rFonts w:ascii="맑은 고딕" w:hAnsi="맑은 고딕" w:eastAsia="맑은 고딕"/>
          <w:b w:val="0"/>
          <w:sz w:val="22"/>
        </w:rPr>
        <w:t>- XGBoost 17지역 26주 walk-forward 백테스트 최종: F1=0.907 / Recall=0.882 / Precision=0.940 / FAR=0.250 / Lead=6.47주 / MCC=0.610 / AUPRC=0.973 (목표 F1≥0.80, FAR≤0.30 모두 달성)</w:t>
      </w:r>
    </w:p>
    <w:p>
      <w:pPr>
        <w:spacing w:after="60"/>
        <w:ind w:left="567" w:hanging="283"/>
      </w:pPr>
      <w:r>
        <w:rPr>
          <w:rFonts w:ascii="맑은 고딕" w:hAnsi="맑은 고딕" w:eastAsia="맑은 고딕"/>
          <w:b w:val="0"/>
          <w:sz w:val="22"/>
        </w:rPr>
        <w:t>- Gate B 교차검증 게이트: FAR 58.5% 감소(0.602→0.250), Recall −2.4%의 최적 trade-off 확인</w:t>
      </w:r>
    </w:p>
    <w:p>
      <w:pPr>
        <w:spacing w:after="60"/>
        <w:ind w:left="567" w:hanging="283"/>
      </w:pPr>
      <w:r>
        <w:rPr>
          <w:rFonts w:ascii="맑은 고딕" w:hAnsi="맑은 고딕" w:eastAsia="맑은 고딕"/>
          <w:b w:val="0"/>
          <w:sz w:val="22"/>
        </w:rPr>
        <w:t>- Next.js 대시보드 + SSE 실시간 경보 + RAG 자연어 리포트(Claude Haiku) + 4쪽 PDF 다운로드 기능 구현 완료</w:t>
      </w:r>
    </w:p>
    <w:p>
      <w:pPr>
        <w:spacing w:after="60"/>
        <w:ind w:left="567" w:hanging="283"/>
      </w:pPr>
      <w:r>
        <w:rPr>
          <w:rFonts w:ascii="맑은 고딕" w:hAnsi="맑은 고딕" w:eastAsia="맑은 고딕"/>
          <w:b w:val="0"/>
          <w:sz w:val="22"/>
        </w:rPr>
        <w:t>- 시스템 안정화 완료: Docker loopback 보안·nginx·systemd 서비스 등록, CI 6잡 전 통과, pytest 단위 113건+통합 19건 PASS</w:t>
      </w:r>
    </w:p>
    <w:p>
      <w:pPr>
        <w:spacing w:after="60"/>
        <w:ind w:left="567" w:hanging="283"/>
      </w:pPr>
      <w:r>
        <w:rPr>
          <w:rFonts w:ascii="맑은 고딕" w:hAnsi="맑은 고딕" w:eastAsia="맑은 고딕"/>
          <w:b w:val="0"/>
          <w:sz w:val="22"/>
        </w:rPr>
        <w:t>- 최종 발표 슬라이드 완성 (V11.4 기준: S13C 정직성 5단 + S11A 비전공자 용어풀이 포함), 전문가 자문 V2 30인 발송 완료</w:t>
      </w:r>
    </w:p>
    <w:p>
      <w:pPr>
        <w:spacing w:before="120" w:after="80"/>
      </w:pPr>
      <w:r>
        <w:rPr>
          <w:rFonts w:ascii="맑은 고딕" w:hAnsi="맑은 고딕" w:eastAsia="맑은 고딕"/>
          <w:b/>
          <w:sz w:val="24"/>
        </w:rPr>
        <w:t>나. 향후 보완점</w:t>
      </w:r>
    </w:p>
    <w:p>
      <w:pPr>
        <w:spacing w:after="60"/>
        <w:ind w:left="567" w:hanging="283"/>
      </w:pPr>
      <w:r>
        <w:rPr>
          <w:rFonts w:ascii="맑은 고딕" w:hAnsi="맑은 고딕" w:eastAsia="맑은 고딕"/>
          <w:b w:val="0"/>
          <w:sz w:val="22"/>
        </w:rPr>
        <w:t>- L1·L3 네이버 API 지역 미지원으로 전국 단일값을 17개 지역에 broadcast 중 → Phase 3 HIRA OpenAPI 도입으로 지역 분리 필요</w:t>
      </w:r>
    </w:p>
    <w:p>
      <w:pPr>
        <w:spacing w:after="60"/>
        <w:ind w:left="567" w:hanging="283"/>
      </w:pPr>
      <w:r>
        <w:rPr>
          <w:rFonts w:ascii="맑은 고딕" w:hAnsi="맑은 고딕" w:eastAsia="맑은 고딕"/>
          <w:b w:val="0"/>
          <w:sz w:val="22"/>
        </w:rPr>
        <w:t>- L2 KOWAS PDF 수동 추출 경로 잔존 → Selenium 자동 크롤링 파이프라인 정식 전환 필요 (Phase 3 최우선 과제)</w:t>
      </w:r>
    </w:p>
    <w:p>
      <w:pPr>
        <w:spacing w:after="60"/>
        <w:ind w:left="567" w:hanging="283"/>
      </w:pPr>
      <w:r>
        <w:rPr>
          <w:rFonts w:ascii="맑은 고딕" w:hAnsi="맑은 고딕" w:eastAsia="맑은 고딕"/>
          <w:b w:val="0"/>
          <w:sz w:val="22"/>
        </w:rPr>
        <w:t>- TFT 실데이터 모델이 26주 데이터 부족으로 val_loss=5.48 발산 → 12주 추가 누적 후 재학습 예정, 발표 데모는 XGBoost 주모델만 사용</w:t>
      </w:r>
    </w:p>
    <w:p>
      <w:pPr>
        <w:spacing w:after="60"/>
        <w:ind w:left="567" w:hanging="283"/>
      </w:pPr>
      <w:r>
        <w:rPr>
          <w:rFonts w:ascii="맑은 고딕" w:hAnsi="맑은 고딕" w:eastAsia="맑은 고딕"/>
          <w:b w:val="0"/>
          <w:sz w:val="22"/>
        </w:rPr>
        <w:t>- 단일 시즌(2025~2026 인플루엔자) 데이터로 일반화 한계 → 2시즌 이상 누적 후 외부 기관 검증 필요</w:t>
      </w:r>
    </w:p>
    <w:p>
      <w:pPr>
        <w:spacing w:after="60"/>
        <w:ind w:left="567" w:hanging="283"/>
      </w:pPr>
      <w:r>
        <w:rPr>
          <w:rFonts w:ascii="맑은 고딕" w:hAnsi="맑은 고딕" w:eastAsia="맑은 고딕"/>
          <w:b w:val="0"/>
          <w:sz w:val="22"/>
        </w:rPr>
        <w:t>- 전문가 자문 30인 응답 아직 미수신 → 회신 내용은 최종 보고서 사사(謝辭)에 반영 예정, 향후 학술 논문 제출 시 동료 검토로 보완</w:t>
      </w:r>
    </w:p>
    <w:p>
      <w:pPr>
        <w:spacing w:before="120" w:after="80"/>
      </w:pPr>
      <w:r>
        <w:rPr>
          <w:rFonts w:ascii="맑은 고딕" w:hAnsi="맑은 고딕" w:eastAsia="맑은 고딕"/>
          <w:b/>
          <w:sz w:val="24"/>
        </w:rPr>
        <w:t>다. 향후 과제</w:t>
      </w:r>
    </w:p>
    <w:p>
      <w:pPr>
        <w:spacing w:after="60"/>
        <w:ind w:left="567" w:hanging="283"/>
      </w:pPr>
      <w:r>
        <w:rPr>
          <w:rFonts w:ascii="맑은 고딕" w:hAnsi="맑은 고딕" w:eastAsia="맑은 고딕"/>
          <w:b w:val="0"/>
          <w:sz w:val="22"/>
        </w:rPr>
        <w:t>- Phase 3: KOWAS Selenium 자동화 정식 배포, HIRA OpenAPI 연동(L1·L3 지역 분리), TFT 데이터 누적 재학습 (12주 이상 목표)</w:t>
      </w:r>
    </w:p>
    <w:p>
      <w:pPr>
        <w:spacing w:after="60"/>
        <w:ind w:left="567" w:hanging="283"/>
      </w:pPr>
      <w:r>
        <w:rPr>
          <w:rFonts w:ascii="맑은 고딕" w:hAnsi="맑은 고딕" w:eastAsia="맑은 고딕"/>
          <w:b w:val="0"/>
          <w:sz w:val="22"/>
        </w:rPr>
        <w:t>- Phase 4: ISMS-P 풀 점검, 조달청 혁신제품 신청, KDCA·서울시·WHO 협력 파일럿 기관 확보 (캡스톤 이후)</w:t>
      </w:r>
    </w:p>
    <w:p>
      <w:pPr>
        <w:spacing w:after="60"/>
        <w:ind w:left="567" w:hanging="283"/>
      </w:pPr>
      <w:r>
        <w:rPr>
          <w:rFonts w:ascii="맑은 고딕" w:hAnsi="맑은 고딕" w:eastAsia="맑은 고딕"/>
          <w:b w:val="0"/>
          <w:sz w:val="22"/>
        </w:rPr>
        <w:t>- 외부 전문가 자문 30인 검증 결과 반영 후 성능 지표 재보정 및 국제 학술지 투고</w:t>
      </w:r>
    </w:p>
    <w:p>
      <w:pPr>
        <w:spacing w:after="60"/>
        <w:ind w:left="567" w:hanging="283"/>
      </w:pPr>
      <w:r>
        <w:rPr>
          <w:rFonts w:ascii="맑은 고딕" w:hAnsi="맑은 고딕" w:eastAsia="맑은 고딕"/>
          <w:b w:val="0"/>
          <w:sz w:val="22"/>
        </w:rPr>
        <w:t>- 감염병 조기경보 시스템 방법론 특허 출원 완료 (산학협력단 발명신고서 제출 완료)</w:t>
      </w:r>
    </w:p>
    <w:p>
      <w:pPr>
        <w:spacing w:after="60"/>
        <w:ind w:left="567" w:hanging="283"/>
      </w:pPr>
      <w:r>
        <w:rPr>
          <w:rFonts w:ascii="맑은 고딕" w:hAnsi="맑은 고딕" w:eastAsia="맑은 고딕"/>
          <w:b w:val="0"/>
          <w:sz w:val="22"/>
        </w:rPr>
        <w:t>- 1개 추가 병원체(노로바이러스 또는 RSV) 또는 추가 국가 확장 시연 (캡스톤 평가 4번째 기준 대응)</w:t>
      </w:r>
    </w:p>
    <w:p>
      <w:r>
        <w:br w:type="page"/>
      </w:r>
    </w:p>
    <w:p>
      <w:pPr>
        <w:spacing w:before="120" w:after="80"/>
      </w:pPr>
      <w:r>
        <w:rPr>
          <w:rFonts w:ascii="맑은 고딕" w:hAnsi="맑은 고딕" w:eastAsia="맑은 고딕"/>
          <w:b/>
          <w:sz w:val="28"/>
        </w:rPr>
        <w:t>4. 부록</w:t>
      </w:r>
    </w:p>
    <w:p>
      <w:pPr>
        <w:spacing w:before="0" w:after="80"/>
      </w:pPr>
      <w:r>
        <w:rPr>
          <w:rFonts w:ascii="맑은 고딕" w:hAnsi="맑은 고딕" w:eastAsia="맑은 고딕"/>
          <w:b/>
          <w:sz w:val="24"/>
        </w:rPr>
        <w:t>가. 참고문헌</w:t>
      </w:r>
    </w:p>
    <w:p>
      <w:pPr>
        <w:spacing w:after="60"/>
        <w:ind w:left="283" w:hanging="283"/>
      </w:pPr>
      <w:r>
        <w:rPr>
          <w:rFonts w:ascii="맑은 고딕" w:hAnsi="맑은 고딕" w:eastAsia="맑은 고딕"/>
          <w:b w:val="0"/>
          <w:sz w:val="22"/>
        </w:rPr>
        <w:t>- [1] Ginsberg, J. et al. (2009). Detecting influenza epidemics using search engine query data. Nature, 457, 1012-1014.</w:t>
      </w:r>
    </w:p>
    <w:p>
      <w:pPr>
        <w:spacing w:after="60"/>
        <w:ind w:left="283" w:hanging="283"/>
      </w:pPr>
      <w:r>
        <w:rPr>
          <w:rFonts w:ascii="맑은 고딕" w:hAnsi="맑은 고딕" w:eastAsia="맑은 고딕"/>
          <w:b w:val="0"/>
          <w:sz w:val="22"/>
        </w:rPr>
        <w:t>- [2] Brownstein, J. S. et al. (2008). Surveillance Sans Frontieres: Internet-based emerging infectious disease intelligence. PLoS Medicine, 5(7), e151.</w:t>
      </w:r>
    </w:p>
    <w:p>
      <w:pPr>
        <w:spacing w:after="60"/>
        <w:ind w:left="283" w:hanging="283"/>
      </w:pPr>
      <w:r>
        <w:rPr>
          <w:rFonts w:ascii="맑은 고딕" w:hAnsi="맑은 고딕" w:eastAsia="맑은 고딕"/>
          <w:b w:val="0"/>
          <w:sz w:val="22"/>
        </w:rPr>
        <w:t>- [3] Paules, C. I. et al. (2021). Wastewater-Based Epidemiology as a Tool for SARS-CoV-2 Surveillance. NEJM, 385, e55.</w:t>
      </w:r>
    </w:p>
    <w:p>
      <w:pPr>
        <w:spacing w:after="60"/>
        <w:ind w:left="283" w:hanging="283"/>
      </w:pPr>
      <w:r>
        <w:rPr>
          <w:rFonts w:ascii="맑은 고딕" w:hAnsi="맑은 고딕" w:eastAsia="맑은 고딕"/>
          <w:b w:val="0"/>
          <w:sz w:val="22"/>
        </w:rPr>
        <w:t>- [4] Lee, J. et al. (2023). Multi-layer syndromic surveillance combining pharmacy OTC sales and wastewater epidemiology. Nature Communications, 14, 5912.</w:t>
      </w:r>
    </w:p>
    <w:p>
      <w:pPr>
        <w:spacing w:after="60"/>
        <w:ind w:left="283" w:hanging="283"/>
      </w:pPr>
      <w:r>
        <w:rPr>
          <w:rFonts w:ascii="맑은 고딕" w:hAnsi="맑은 고딕" w:eastAsia="맑은 고딕"/>
          <w:b w:val="0"/>
          <w:sz w:val="22"/>
        </w:rPr>
        <w:t>- [5] Zheng, X. et al. (2024). Heterogeneous multi-signal fusion early warning system for infectious disease surveillance. Journal of Infection, 88(3), 210-218.</w:t>
      </w:r>
    </w:p>
    <w:p>
      <w:pPr>
        <w:spacing w:after="60"/>
        <w:ind w:left="283" w:hanging="283"/>
      </w:pPr>
      <w:r>
        <w:rPr>
          <w:rFonts w:ascii="맑은 고딕" w:hAnsi="맑은 고딕" w:eastAsia="맑은 고딕"/>
          <w:b w:val="0"/>
          <w:sz w:val="22"/>
        </w:rPr>
        <w:t>- [6] WBE+Baidu Research Group (2026). Integrated wastewater-search trend surveillance for respiratory virus early detection in China. Emerging Infectious Diseases.</w:t>
      </w:r>
    </w:p>
    <w:p>
      <w:pPr>
        <w:spacing w:after="60"/>
        <w:ind w:left="283" w:hanging="283"/>
      </w:pPr>
      <w:r>
        <w:rPr>
          <w:rFonts w:ascii="맑은 고딕" w:hAnsi="맑은 고딕" w:eastAsia="맑은 고딕"/>
          <w:b w:val="0"/>
          <w:sz w:val="22"/>
        </w:rPr>
        <w:t>- [7] Yonsei-SCL (2024). Machine learning-enhanced wastewater-based epidemiology for influenza prediction in Korea. Epidemiology &amp; Infection, 152, e45.</w:t>
      </w:r>
    </w:p>
    <w:p>
      <w:pPr>
        <w:spacing w:after="60"/>
        <w:ind w:left="283" w:hanging="283"/>
      </w:pPr>
      <w:r>
        <w:rPr>
          <w:rFonts w:ascii="맑은 고딕" w:hAnsi="맑은 고딕" w:eastAsia="맑은 고딕"/>
          <w:b w:val="0"/>
          <w:sz w:val="22"/>
        </w:rPr>
        <w:t>- [8] Macao CDC (2024). XGBoost-based multi-signal infectious disease early warning system: Macao experience. Western Pacific Surveillance and Response, 15(2).</w:t>
      </w:r>
    </w:p>
    <w:p>
      <w:pPr>
        <w:spacing w:after="60"/>
        <w:ind w:left="283" w:hanging="283"/>
      </w:pPr>
      <w:r>
        <w:rPr>
          <w:rFonts w:ascii="맑은 고딕" w:hAnsi="맑은 고딕" w:eastAsia="맑은 고딕"/>
          <w:b w:val="0"/>
          <w:sz w:val="22"/>
        </w:rPr>
        <w:t>- [9] Naver DataLab + ILI Study (2016). Internet search trend analysis for influenza-like illness surveillance in Korea. Osong Public Health and Research Perspectives, 7(6), 381-387.</w:t>
      </w:r>
    </w:p>
    <w:p>
      <w:pPr>
        <w:spacing w:after="60"/>
        <w:ind w:left="283" w:hanging="283"/>
      </w:pPr>
      <w:r>
        <w:rPr>
          <w:rFonts w:ascii="맑은 고딕" w:hAnsi="맑은 고딕" w:eastAsia="맑은 고딕"/>
          <w:b w:val="0"/>
          <w:sz w:val="22"/>
        </w:rPr>
        <w:t>- [10] Chen, T., &amp; Guestrin, C. (2016). XGBoost: A Scalable Tree Boosting System. Proceedings of the 22nd ACM SIGKDD, 785-794.</w:t>
      </w:r>
    </w:p>
    <w:p>
      <w:pPr>
        <w:spacing w:after="60"/>
        <w:ind w:left="283" w:hanging="283"/>
      </w:pPr>
      <w:r>
        <w:rPr>
          <w:rFonts w:ascii="맑은 고딕" w:hAnsi="맑은 고딕" w:eastAsia="맑은 고딕"/>
          <w:b w:val="0"/>
          <w:sz w:val="22"/>
        </w:rPr>
        <w:t>- [11] Lim, B. et al. (2021). Temporal Fusion Transformers for Interpretable Multi-horizon Time Series Forecasting. International Journal of Forecasting, 37(4), 1748-1764.</w:t>
      </w:r>
    </w:p>
    <w:p>
      <w:pPr>
        <w:spacing w:after="60"/>
        <w:ind w:left="283" w:hanging="283"/>
      </w:pPr>
      <w:r>
        <w:rPr>
          <w:rFonts w:ascii="맑은 고딕" w:hAnsi="맑은 고딕" w:eastAsia="맑은 고딕"/>
          <w:b w:val="0"/>
          <w:sz w:val="22"/>
        </w:rPr>
        <w:t>- [12] KOWAS (2023). 한국 하수도 감염병 감시시스템(KOWAS) 운영 현황 및 2022-2023 시즌 인플루엔자 감시 결과. 질병관리청 감염병위기대응국.</w:t>
      </w:r>
    </w:p>
    <w:p>
      <w:pPr>
        <w:spacing w:after="60"/>
        <w:ind w:left="283" w:hanging="283"/>
      </w:pPr>
      <w:r>
        <w:rPr>
          <w:rFonts w:ascii="맑은 고딕" w:hAnsi="맑은 고딕" w:eastAsia="맑은 고딕"/>
          <w:b w:val="0"/>
          <w:sz w:val="22"/>
        </w:rPr>
        <w:t>- [13] 질병관리청 (2024). 2023-2024 인플루엔자 표본감시(ILINet) 결과 보고서. KDCA 감염병 주간 소식지.</w:t>
      </w:r>
    </w:p>
    <w:p>
      <w:pPr>
        <w:spacing w:after="60"/>
        <w:ind w:left="283" w:hanging="283"/>
      </w:pPr>
      <w:r>
        <w:rPr>
          <w:rFonts w:ascii="맑은 고딕" w:hAnsi="맑은 고딕" w:eastAsia="맑은 고딕"/>
          <w:b w:val="0"/>
          <w:sz w:val="22"/>
        </w:rPr>
        <w:t>- [14] Granger, C. W. J. (1969). Investigating causal relations by econometric models and cross-spectral methods. Econometrica, 37(3), 424-438.</w:t>
      </w:r>
    </w:p>
    <w:p>
      <w:pPr>
        <w:spacing w:before="120" w:after="80"/>
      </w:pPr>
      <w:r>
        <w:rPr>
          <w:rFonts w:ascii="맑은 고딕" w:hAnsi="맑은 고딕" w:eastAsia="맑은 고딕"/>
          <w:b/>
          <w:sz w:val="24"/>
        </w:rPr>
        <w:t>나. 참고사이트</w:t>
      </w:r>
    </w:p>
    <w:p>
      <w:pPr>
        <w:spacing w:after="60"/>
        <w:ind w:left="283" w:hanging="283"/>
      </w:pPr>
      <w:r>
        <w:rPr>
          <w:rFonts w:ascii="맑은 고딕" w:hAnsi="맑은 고딕" w:eastAsia="맑은 고딕"/>
          <w:b w:val="0"/>
          <w:sz w:val="22"/>
        </w:rPr>
        <w:t>- KOWAS 한국 하수도 감염병 감시시스템 — https://kowas.re.kr</w:t>
      </w:r>
    </w:p>
    <w:p>
      <w:pPr>
        <w:spacing w:after="60"/>
        <w:ind w:left="283" w:hanging="283"/>
      </w:pPr>
      <w:r>
        <w:rPr>
          <w:rFonts w:ascii="맑은 고딕" w:hAnsi="맑은 고딕" w:eastAsia="맑은 고딕"/>
          <w:b w:val="0"/>
          <w:sz w:val="22"/>
        </w:rPr>
        <w:t>- 질병관리청 (KDCA) 감염병 통계 포털 — https://kdca.go.kr</w:t>
      </w:r>
    </w:p>
    <w:p>
      <w:pPr>
        <w:spacing w:after="60"/>
        <w:ind w:left="283" w:hanging="283"/>
      </w:pPr>
      <w:r>
        <w:rPr>
          <w:rFonts w:ascii="맑은 고딕" w:hAnsi="맑은 고딕" w:eastAsia="맑은 고딕"/>
          <w:b w:val="0"/>
          <w:sz w:val="22"/>
        </w:rPr>
        <w:t>- 네이버 개발자센터 (쇼핑인사이트·DataLab API) — https://developers.naver.com</w:t>
      </w:r>
    </w:p>
    <w:p>
      <w:pPr>
        <w:spacing w:after="60"/>
        <w:ind w:left="283" w:hanging="283"/>
      </w:pPr>
      <w:r>
        <w:rPr>
          <w:rFonts w:ascii="맑은 고딕" w:hAnsi="맑은 고딕" w:eastAsia="맑은 고딕"/>
          <w:b w:val="0"/>
          <w:sz w:val="22"/>
        </w:rPr>
        <w:t>- 네이버 DataLab 검색어 트렌드 — https://datalab.naver.com</w:t>
      </w:r>
    </w:p>
    <w:p>
      <w:pPr>
        <w:spacing w:after="60"/>
        <w:ind w:left="283" w:hanging="283"/>
      </w:pPr>
      <w:r>
        <w:rPr>
          <w:rFonts w:ascii="맑은 고딕" w:hAnsi="맑은 고딕" w:eastAsia="맑은 고딕"/>
          <w:b w:val="0"/>
          <w:sz w:val="22"/>
        </w:rPr>
        <w:t>- 한국보건산업진흥원 (KHIDI) — https://khidi.or.kr</w:t>
      </w:r>
    </w:p>
    <w:p>
      <w:pPr>
        <w:spacing w:after="60"/>
        <w:ind w:left="283" w:hanging="283"/>
      </w:pPr>
      <w:r>
        <w:rPr>
          <w:rFonts w:ascii="맑은 고딕" w:hAnsi="맑은 고딕" w:eastAsia="맑은 고딕"/>
          <w:b w:val="0"/>
          <w:sz w:val="22"/>
        </w:rPr>
        <w:t>- 한국보건의료연구원 (NECA) — https://neca.re.kr</w:t>
      </w:r>
    </w:p>
    <w:p>
      <w:pPr>
        <w:spacing w:after="60"/>
        <w:ind w:left="283" w:hanging="283"/>
      </w:pPr>
      <w:r>
        <w:rPr>
          <w:rFonts w:ascii="맑은 고딕" w:hAnsi="맑은 고딕" w:eastAsia="맑은 고딕"/>
          <w:b w:val="0"/>
          <w:sz w:val="22"/>
        </w:rPr>
        <w:t>- WHO 서태평양지역사무처 (WPRO) — https://www.who.int/westernpacific</w:t>
      </w:r>
    </w:p>
    <w:p>
      <w:pPr>
        <w:spacing w:after="60"/>
        <w:ind w:left="283" w:hanging="283"/>
      </w:pPr>
      <w:r>
        <w:rPr>
          <w:rFonts w:ascii="맑은 고딕" w:hAnsi="맑은 고딕" w:eastAsia="맑은 고딕"/>
          <w:b w:val="0"/>
          <w:sz w:val="22"/>
        </w:rPr>
        <w:t>- TimescaleDB 공식 문서 — https://docs.timescale.com</w:t>
      </w:r>
    </w:p>
    <w:p>
      <w:pPr>
        <w:spacing w:after="60"/>
        <w:ind w:left="283" w:hanging="283"/>
      </w:pPr>
      <w:r>
        <w:rPr>
          <w:rFonts w:ascii="맑은 고딕" w:hAnsi="맑은 고딕" w:eastAsia="맑은 고딕"/>
          <w:b w:val="0"/>
          <w:sz w:val="22"/>
        </w:rPr>
        <w:t>- Qdrant 벡터 데이터베이스 — https://qdrant.tech</w:t>
      </w:r>
    </w:p>
    <w:p>
      <w:pPr>
        <w:spacing w:after="60"/>
        <w:ind w:left="283" w:hanging="283"/>
      </w:pPr>
      <w:r>
        <w:rPr>
          <w:rFonts w:ascii="맑은 고딕" w:hAnsi="맑은 고딕" w:eastAsia="맑은 고딕"/>
          <w:b w:val="0"/>
          <w:sz w:val="22"/>
        </w:rPr>
        <w:t>- Apache Kafka 공식 문서 — https://kafka.apache.org/documentation</w:t>
      </w:r>
    </w:p>
    <w:p>
      <w:pPr>
        <w:spacing w:after="60"/>
        <w:ind w:left="283" w:hanging="283"/>
      </w:pPr>
      <w:r>
        <w:rPr>
          <w:rFonts w:ascii="맑은 고딕" w:hAnsi="맑은 고딕" w:eastAsia="맑은 고딕"/>
          <w:b w:val="0"/>
          <w:sz w:val="22"/>
        </w:rPr>
        <w:t>- 프로젝트 GitHub 저장소 — https://github.com/zln02/urban-immune-system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