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강원대학교 환경공학과  /  이상일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E. 환경공학/하수역학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이상일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수환경 모니터링 연구를 바탕으로, 저희 시스템의 농촌·중소도시 L2 신호 약화 문제에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처리 인구 5만 명 미만의 소규모 하수처리장에서 WBE(하수 역학) 바이러스 모니터링 적용 시 발생하는 기술적 한계(검출 한계 LOD, 희석 효과)를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KOWAS 측정망이 대형 하수처리장 중심으로 구성되어 있을 경우, 농촌 지역의 감염병 신호가 과소추정될 가능성이 있는지, 이를 보고서에서 한계로 기술하는 적절한 방식을 알려주시기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WBE 분야에서 지역 간 측정 표준화(standardization)를 위한 국제 권고 지침(WHO, CDC 등)이 있는지, 있다면 저희 시스템이 준수해야 할 최소 기준을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