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성균관대학교 의과대학 예방의학교실 / 정해관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정해관 교수님. 학부 캡스톤 연구에서 관측된 지역별 성능 격차의 원인 분석을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지역별 성능 격차 해석 — 세종·부산 등에서 선행성이 높고, 충북·대구·경북에서 recall이 낮은 현상에 대해 보건 인프라·인구 밀도·도농 구조 등 데이터 외적 요인 측면에서의 역학적 해석 방향을 여쭙고자 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도농 격차 역설 — 인구가 적은 세종·제주가 오히려 선행성이 높게 나오는 현상이 역학적으로 어떻게 해석될 수 있는지, 소규모 인구에서 신호 대비 잡음비(SNR)가 달라지는 기제에 대한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임상 데이터 비교 가능성 — 삼성서울병원 ILI 내원 데이터가 서울 L1/L3 신호와 시간적으로 어떻게 선후 관계를 갖는지 내부 경험 측면에서 간략한 의견을 주실 수 있으시다면 큰 참고가 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