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.vimrc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$ cat .vimrc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set exrc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set secure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set laststatus=2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set mouse-=a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set ruler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syntax on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" show existing tab with 4 spaces width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set tabstop=4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" when indenting with '&gt;', use 4 spaces width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set shiftwidth=4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" On pressing tab, insert 4 spaces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set expandtab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set ff=unix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autocmd BufWritePost * call system("ctags -R")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set tags=./tags;,tags;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set noshowmode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nmap &lt;F8&gt; :TagbarToggle&lt;CR&gt;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nmap &lt;F3&gt; :NERDTreeToggle&lt;CR&gt;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let g:tagbar_show_visibility = 0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colorscheme OceanicNext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autocmd bufenter * if (winnr("$") == 1 &amp;&amp; exists("b:NERDTree") &amp;&amp; b:NERDTree.isTabTree()) | q | endif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let g:NERDTreeDirArrowExpandable = '&gt;'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let g:NERDTreeDirArrowCollapsible = '*'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