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局部修改记录</w:t>
      </w:r>
    </w:p>
    <w:p>
      <w:r>
        <w:t>只修改标题和摘要。正文和原生对象保留；数据为构造值。</w:t>
      </w:r>
    </w:p>
    <w:p>
      <w:r>
        <w:t>基线：rough.docx</w:t>
        <w:br/>
        <w:t>SHA-256：1750e8dc319c329af229c0e4ccaa428dc53c3b3b9b43285d691a679a6c8183a0</w:t>
      </w:r>
    </w:p>
    <w:p>
      <w:pPr>
        <w:pStyle w:val="Heading1"/>
      </w:pPr>
      <w:r>
        <w:t>E001 P0002</w:t>
      </w:r>
    </w:p>
    <w:p>
      <w:r>
        <w:t>原文：Compression fixture evaluation</w:t>
      </w:r>
    </w:p>
    <w:p>
      <w:r>
        <w:t>改文：Post-seating locking limits drift in a single-axis compression fixture</w:t>
      </w:r>
    </w:p>
    <w:p>
      <w:r>
        <w:t>理由：把锁止时序、比较和代价前置；只修改标题和摘要。</w:t>
        <w:br/>
        <w:t>依据：implementation.md 的 E/F/L 定义；results.csv 的 pitch_1deg、flat、roll_1deg 三组记录。</w:t>
      </w:r>
    </w:p>
    <w:p>
      <w:pPr>
        <w:pStyle w:val="Heading1"/>
      </w:pPr>
      <w:r>
        <w:t>E002 P0004</w:t>
      </w:r>
    </w:p>
    <w:p>
      <w:r>
        <w:t>原文：Three modes were tried with an existing pivoting compression pad. The components included a frame, a pin, a clamp, a pad and a lower platen. The records include nine rows. In the pitch condition, mode L had a force coefficient of variation of 2.3%, drift of 19 micrometres and seating time of 32 seconds. E had 7.2%, 12 micrometres and 18 seconds. In flat and roll conditions there were also differences. The fixture was operated at a preload of 10 N and a displacement of 0.20 mm. Repeatability and displacement during the ramp are discussed. These are constructed teaching records.</w:t>
      </w:r>
    </w:p>
    <w:p>
      <w:r>
        <w:t>改文：An existing pivoting compression pad can accommodate a pitch slope, but remaining free during loading may permit drift. We compare locking before approach, remaining free, and locking under preload after seating. For a constructed 1° pitch example, post-seating locking reduced drift from 125 to 19 μm relative to remaining free, while seating time rose from 17 to 32 s. Force variation was 2.3%, versus 2.1% when free and 7.2% with early locking. Flat coupons gained no repeatability benefit, and cross-axis tilt remained uncorrected. Eight reseatings per coupon illustrate this tradeoff; they do not establish force accuracy.</w:t>
      </w:r>
    </w:p>
    <w:p>
      <w:r>
        <w:t>理由：把锁止时序、比较和代价前置；只修改标题和摘要。</w:t>
        <w:br/>
        <w:t>依据：implementation.md 的 E/F/L 定义；results.csv 的 pitch_1deg、flat、roll_1deg 三组记录。</w:t>
      </w:r>
    </w:p>
    <w:p>
      <w:r>
        <w:t>受影响检查：PASS；ZIP/XML object preservation only; content, citations and visual review are separate</w:t>
      </w:r>
    </w:p>
    <w:p>
      <w:r>
        <w:t>数字与条件：对照三种时序、八次重新就位与跨轴限制，未改变数据。</w:t>
      </w:r>
    </w:p>
    <w:p>
      <w:r>
        <w:t>剩余问题：当前维护模型在已知案例上的再生成，不是新材料独立测试。</w:t>
      </w:r>
    </w:p>
    <w:p>
      <w:r>
        <w:t>剩余问题：未获得真实读者或作者认可。</w:t>
      </w:r>
    </w:p>
    <w:p>
      <w:r>
        <w:t>黄色仅标本轮改写，不是原生修订；历史高亮和原生修订未接受或清除。页面渲染另行验收，作者认可尚未取得。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