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Conductance Reuse with Consistent Snapshots in Explicit Heat Transport</w:t>
      </w:r>
    </w:p>
    <w:p>
      <w:pPr/>
      <w:r>
        <w:t>DEMO FICTION. This paper describes an invented engineering study. All workloads, timings, errors, residuals, and implementation outcomes are stipulated editing material. There is no executable solver, measured performance, physical experiment, or claim of actual novelty.</w:t>
      </w:r>
    </w:p>
    <w:p>
      <w:pPr>
        <w:pStyle w:val="Heading1"/>
      </w:pPr>
      <w:r>
        <w:t>Abstract</w:t>
      </w:r>
    </w:p>
    <w:p>
      <w:pPr/>
      <w:r>
        <w:rPr>
          <w:highlight w:val="yellow"/>
        </w:rPr>
        <w:t>A fixed refresh schedule ignores how quickly temperatures change. We instead bound conductance drift using endpoint temperatures saved at each coefficient's own refresh. Keeping both snapshots with the face's owner lets neighboring groups refresh independently without changing the retained coefficient's reference state. This decision adds an exponential test per active group, snapshot reads, and 50% more reserved array memory. In fictional accounting, it reduces total time in three of five nonconstant cases; all five meet a 0.010 K final-temperature comparison limit. A fixed four-step schedule is faster in all five but meets the limit only for the slow plate, where it is also cheaper. The guarded method loses time to full refresh on switching loads and a small mesh. Selective reuse must therefore repay its guard, and its local coefficient bound still requires a separate check of global temperature accuracy.</w:t>
      </w:r>
    </w:p>
    <w:p>
      <w:pPr>
        <w:pStyle w:val="Heading1"/>
      </w:pPr>
      <w:r>
        <w:t>1. The decision between refreshing and reusing</w:t>
      </w:r>
    </w:p>
    <w:p>
      <w:pPr/>
      <w:r>
        <w:rPr>
          <w:highlight w:val="yellow"/>
        </w:rPr>
        <w:t>Slowly changing heating can leave face conductances nearly unchanged over several steps. A moving or switching heater complicates reuse: the same elapsed step count can conceal very different temperature changes. The question is when a stored coefficient can be reused, and whether deciding this costs less than recomputing it.</w:t>
      </w:r>
    </w:p>
    <w:p>
      <w:pPr/>
      <w:r>
        <w:rPr>
          <w:highlight w:val="yellow"/>
        </w:rPr>
        <w:t>Method G tests temperature change since a coefficient was formed. A face can join cell groups that refresh at different times: replacing one endpoint's snapshot during a neighboring refresh would change the reference state of the retained coefficient. G therefore keeps both endpoint snapshots with the face's owner. Figure 1 shows that relationship; Section 3 derives the coefficient bound and separates reuse from time-step acceptance.</w:t>
      </w:r>
    </w:p>
    <w:p>
      <w:pPr/>
      <w:r>
        <w:rPr>
          <w:highlight w:val="yellow"/>
        </w:rPr>
        <w:t>The comparison asks when this decision is worth making. Reference V already separates interleaved coefficient and flux calculations into contiguous, vector-friendly loops, computes one flux per face, and evaluates constant conductances once. P4 retains V's flux and temperature-update code but refreshes every four accepted steps. Reuse and these inherited choices are not contributions of G; no literature search supports priority. Figure 2 compares final-temperature error and total time alongside the memory cost: avoided face work must repay the guard while meeting the error limit.</w:t>
      </w:r>
    </w:p>
    <w:p>
      <w:pPr>
        <w:pStyle w:val="Heading1"/>
      </w:pPr>
      <w:r>
        <w:t>2. Model and the quantities that reuse must preserve</w:t>
      </w:r>
    </w:p>
    <w:p>
      <w:pPr/>
      <w:r>
        <w:t>The two-dimensional finite-volume mesh is rectangular; all demonstration domains are square. External faces are insulated. Prescribed cell power changes the heating pattern without changing connectivity. For an interior face f between cells i and j, G0 is a fixed positive scalar, beta is fixed and nonnegative, and T_ref is a fixed reference temperature. Temperature differences are in kelvin even when temperatures are expressed in degrees Celsius.</w:t>
      </w:r>
    </w:p>
    <w:p>
      <w:pPr>
        <w:jc w:val="center"/>
      </w:pPr>
      <m:oMath>
        <m:r>
          <m:rPr>
            <m:nor/>
          </m:rPr>
          <m:t>G_f(T) = G0 × exp[beta × ((T_i + T_j)/2 − T_ref)]</m:t>
        </m:r>
      </m:oMath>
    </w:p>
    <w:p>
      <w:pPr>
        <w:jc w:val="center"/>
      </w:pPr>
      <m:oMath>
        <m:r>
          <m:rPr>
            <m:nor/>
          </m:rPr>
          <m:t>q_f = G_f × (T_i − T_j)</m:t>
        </m:r>
      </m:oMath>
    </w:p>
    <w:p>
      <w:pPr>
        <w:jc w:val="center"/>
      </w:pPr>
      <m:oMath>
        <m:r>
          <m:rPr>
            <m:nor/>
          </m:rPr>
          <m:t>C_i × (T_i,next − T_i)/dt = P_i − Σ_f s_if × q_f</m:t>
        </m:r>
      </m:oMath>
    </w:p>
    <w:p>
      <w:pPr/>
      <w:r>
        <w:t>Here C_i is strictly positive heat capacity and P_i is prescribed power. The sign s_if is positive for a face directed out of cell i and negative for a face directed into it. Every flux uses the immutable old-temperature array. One oriented flux is stored per face and enters the two adjacent balances with opposite signs; a separate pass writes the next-temperature array. Summing cell balances therefore cancels internal exchange even with approximate cached conductances. Cancellation does not establish that the conductances match the current law or that temperatures are accurate.</w:t>
      </w:r>
    </w:p>
    <w:p>
      <w:pPr/>
      <w:r>
        <w:t>The diffusive update is a convex combination for nonnegative conductances when its row sum is at most one. The design uses the stricter operational threshold 0.95, calculated from the coefficients actually selected for the trial:</w:t>
      </w:r>
    </w:p>
    <w:p>
      <w:pPr>
        <w:jc w:val="center"/>
      </w:pPr>
      <m:oMath>
        <m:r>
          <m:rPr>
            <m:nor/>
          </m:rPr>
          <m:t>sigma_i = dt × Σ_f G_used,f / C_i</m:t>
        </m:r>
      </m:oMath>
    </w:p>
    <w:p>
      <w:pPr/>
      <w:r>
        <w:t>This condition excludes source terms. It neither limits prescribed cooling nor proves positivity under arbitrary sources, and it is not a global temperature-error estimator.</w:t>
      </w:r>
    </w:p>
    <w:p>
      <w:pPr>
        <w:pStyle w:val="Heading1"/>
      </w:pPr>
      <w:r>
        <w:t>3. Making the reuse bound refer to the right state</w:t>
      </w:r>
    </w:p>
    <w:p>
      <w:pPr>
        <w:pStyle w:val="Heading2"/>
      </w:pPr>
      <w:r>
        <w:t>3.1. Ownership and endpoint snapshots</w:t>
      </w:r>
    </w:p>
    <w:p>
      <w:pPr/>
      <w:r>
        <w:rPr>
          <w:highlight w:val="yellow"/>
        </w:rPr>
        <w:t>In Figure 1, A retains its coefficient while B refreshes. The coefficient still depends on both temperatures at A's refresh, including the endpoint in B. The mesh uses 16 × 16 cell groups; each face is oriented from the smaller to the larger row-major cell index. The first endpoint's group owns the face and stores its coefficient and all required endpoint snapshots. Snapshots share the owner's refresh counter; a nonowner never overwrites them.</w:t>
      </w:r>
    </w:p>
    <w:p>
      <w:pPr>
        <w:keepNext/>
        <w:spacing w:after="80"/>
        <w:jc w:val="center"/>
      </w:pPr>
      <w:r>
        <w:drawing>
          <wp:inline xmlns:a="http://schemas.openxmlformats.org/drawingml/2006/main" xmlns:pic="http://schemas.openxmlformats.org/drawingml/2006/picture">
            <wp:extent cx="5760000" cy="3745524"/>
            <wp:docPr id="1" name="Picture 1"/>
            <wp:cNvGraphicFramePr>
              <a:graphicFrameLocks noChangeAspect="1"/>
            </wp:cNvGraphicFramePr>
            <a:graphic>
              <a:graphicData uri="http://schemas.openxmlformats.org/drawingml/2006/picture">
                <pic:pic>
                  <pic:nvPicPr>
                    <pic:cNvPr id="0" name="figure1_owner_guard.png"/>
                    <pic:cNvPicPr/>
                  </pic:nvPicPr>
                  <pic:blipFill>
                    <a:blip r:embed="rId11"/>
                    <a:stretch>
                      <a:fillRect/>
                    </a:stretch>
                  </pic:blipFill>
                  <pic:spPr>
                    <a:xfrm>
                      <a:off x="0" y="0"/>
                      <a:ext cx="5760000" cy="3745524"/>
                    </a:xfrm>
                    <a:prstGeom prst="rect"/>
                  </pic:spPr>
                </pic:pic>
              </a:graphicData>
            </a:graphic>
          </wp:inline>
        </w:drawing>
      </w:r>
    </w:p>
    <w:p>
      <w:pPr>
        <w:pStyle w:val="Caption"/>
        <w:keepNext w:val="0"/>
      </w:pPr>
      <w:r>
        <w:t>Figure 1. A boundary face retains its owner's refresh history. The cells are a detail of different 16 × 16 groups; i &lt; j assigns face f to A. Dashed lines link endpoints to their stored temperatures at A's refresh r. If A reuses while B refreshes at its own counter s, A's coefficient and both snapshots stay at r. The counters r and s are independent.</w:t>
      </w:r>
    </w:p>
    <w:p>
      <w:pPr/>
      <w:r>
        <w:t>Let D be the largest absolute change from an owner's snapshots among all endpoints its faces require. The change of each face-mean temperature is at most D. For the stated fixed, nonnegative beta and positive cached conductance, the exponential law yields:</w:t>
      </w:r>
    </w:p>
    <w:p>
      <w:pPr>
        <w:jc w:val="center"/>
      </w:pPr>
      <m:oMath>
        <m:r>
          <m:rPr>
            <m:nor/>
          </m:rPr>
          <m:t>bound = exp(beta × D) − 1</m:t>
        </m:r>
      </m:oMath>
    </w:p>
    <w:p>
      <w:pPr>
        <w:jc w:val="center"/>
      </w:pPr>
      <m:oMath>
        <m:r>
          <m:rPr>
            <m:nor/>
          </m:rPr>
          <m:t>abs(G_current − G_cached) / G_cached ≤ bound</m:t>
        </m:r>
      </m:oMath>
    </w:p>
    <w:p>
      <w:pPr/>
      <w:r>
        <w:rPr>
          <w:highlight w:val="yellow"/>
        </w:rPr>
        <w:t>G reuses a group's coefficients when bound is at most the user-selected local tolerance eta, including equality. Otherwise, it refreshes every owned face and its snapshots. A small hot region can therefore trigger an entire group's refresh, while each active group pays for an exponential test and snapshot reads. Reserved storage rises from 64 to 96 bytes per cell, or 50% (Section 4). Smaller subgroups and their metadata and branching costs are unaccounted for. At beta = 0, all methods evaluate coefficients once; G bypasses snapshots and the extra allocation.</w:t>
      </w:r>
    </w:p>
    <w:p>
      <w:pPr>
        <w:pStyle w:val="Heading2"/>
      </w:pPr>
      <w:r>
        <w:t>3.2. Completing or discarding a proposed step</w:t>
      </w:r>
    </w:p>
    <w:p>
      <w:pPr/>
      <w:r>
        <w:rPr>
          <w:highlight w:val="yellow"/>
        </w:rPr>
        <w:t>Passing the reuse test permits a coefficient to be used; the trial still has to qualify for commitment. Every trial first validates old temperatures, capacities, dt, and current source values: all must be finite, with positive capacities and dt. Invalid inputs abort. Initialization, restart, and retry require a global refresh; otherwise the selected method makes its refresh decisions. Nonfinite intermediate values are rejected. All decisions finish before any row sums or fluxes are formed, keeping the selected coefficients fixed throughout accumulation.</w:t>
      </w:r>
    </w:p>
    <w:p>
      <w:pPr/>
      <w:r>
        <w:rPr>
          <w:highlight w:val="yellow"/>
        </w:rPr>
        <w:t>The reason for separating abort from retry is that reducing dt can repair an excessive diffusive row sum but cannot repair a constitutive evaluation at unchanged old temperatures. Every selected coefficient must be finite and strictly positive; exponential overflow or underflow to zero exits with INVALID_COEFFICIENT. Invalid inputs likewise never enter the retry loop. If the maximum sigma exceeds 0.95, the trial is discarded, dt is halved, and all coefficients are refreshed on retry. Eight halvings are permitted; continued failure exits with RETRY_LIMIT and preserves the last accepted state.</w:t>
      </w:r>
    </w:p>
    <w:p>
      <w:pPr/>
      <w:r>
        <w:t>The face pass then writes each flux once, and the cell pass constructs the next temperatures. Nonfinite outputs cause INVALID_OUTPUT and retain the old array. Acceptance commits the array swap, simulated time, and accepted-step count together. Only accepted steps accumulate source energy as dt × sum(P_i). Discarded trials add neither energy nor time. Temporary refreshed caches are invalidated on abort; restart always refreshes globally. A parallel implementation would also require a completed face-pass barrier before the cell pass, but none has been constructed.</w:t>
      </w:r>
    </w:p>
    <w:p>
      <w:pPr>
        <w:pStyle w:val="Heading2"/>
      </w:pPr>
      <w:r>
        <w:t>3.3. Arithmetic and exception examples</w:t>
      </w:r>
    </w:p>
    <w:p>
      <w:pPr/>
      <w:r>
        <w:t>For two isolated cells at 40 and 20 °C, with capacities 100 J/K, G0 = 2 W/K, beta = 0.01 K⁻¹, T_ref = 20 °C, and dt = 1 s, the conductance is 2.21034184 W/K and flux is 44.20683672 W. The next temperatures are 39.55793163 and 20.44206837 °C. Their capacity-weighted sum is unchanged within displayed rounding; each sigma is approximately 0.0221034. At D = 0.2 K, the bound is approximately 0.00200200 and passes eta = 0.003; at D = 0.4 K, approximately 0.00400801 triggers refresh. These arithmetic examples do not guarantee accuracy over multiple steps.</w:t>
      </w:r>
    </w:p>
    <w:p>
      <w:pPr/>
      <w:r>
        <w:t>Three constructed exception traces specify different exits. R1 starts with a full-refresh sigma of 1.10 at dt = 1 s, discards that trial, and accepts dt = 0.5 s with sigma = 0.55 because old temperatures are unchanged. It ends at 0.5 s, not at the original one-second endpoint. R2 supplies a NaN source and exits INVALID_INPUT before coefficient decisions. R3 supplies an exponent of 800 in binary64 arithmetic and exits INVALID_COEFFICIENT on overflow. R2 and R3 commit no steps. All three are excluded from the accounting tables and are control descriptions, not execution logs.</w:t>
      </w:r>
    </w:p>
    <w:p>
      <w:pPr>
        <w:pStyle w:val="Heading1"/>
      </w:pPr>
      <w:r>
        <w:t>4. What the fictional comparisons measure</w:t>
      </w:r>
    </w:p>
    <w:p>
      <w:pPr/>
      <w:r>
        <w:rPr>
          <w:highlight w:val="yellow"/>
        </w:rPr>
        <w:t>V supplies the full-refresh cost; P4 tests whether a fixed schedule already suffices. Table 1 retains all records with matched meshes, source sequences, constitutive parameters, time grids, and endpoints. Each case stipulates 1,000 accepted steps at dt = 0.1 s, ending at 100 s, with maximum sigma below 0.95 and zero rejected trials. These shared conditions make time and final-error comparisons meaningful within the accounting model.</w:t>
      </w:r>
    </w:p>
    <w:p>
      <w:pPr/>
      <w:r>
        <w:rPr>
          <w:highlight w:val="yellow"/>
        </w:rPr>
        <w:t>The square meshes have 64 × 64, 512 × 512, or 1024 × 1024 cells. Nonconstant cases use G0 = 2 W/K, beta = 0.01 K⁻¹, T_ref = 20 °C, uniform capacity 100 J/K, and initial temperature 20 °C. Sources may change with accepted-step number: the slow plate has a broad, gradually changing stationary source; the boundary ramp heats cells along one edge while external faces remain insulated; the moving source translates a compact heated region; switching load alternates two source regions. The small mesh also has an alternating source. Static conduction uses a stationary source and beta = 0. Exact source arrays are absent, so these remain scenario descriptions rather than executable workloads.</w:t>
      </w:r>
    </w:p>
    <w:p>
      <w:pPr/>
      <w:r>
        <w:t>Total time is guard plus coefficient plus transport time. Transport includes validation, sigma checks, flux construction, temperature update, and bookkeeping. Startup is included; I/O, checkpoint serialization, visualization, and mesh construction are excluded. Nonconstant coefficient time scales linearly with the stipulated fraction of V's full-refresh face evaluations, ignoring vector occupancy and cache effects. Face fractions include startup and divide by refreshing every interior face over all 1,000 steps. Thus P4 uses 25%, while every beta-zero method uses 0.1%.</w:t>
      </w:r>
    </w:p>
    <w:p>
      <w:pPr/>
      <w:r>
        <w:t>Errors are maximum absolute final-temperature differences over cells from V, whose discretization error is unknown. There is no time-history norm. Accuracy passes at error ≤ 0.010 K, including equality. ACCEPTED only means the stipulated stepping path completes; it does not imply accuracy. The relative energy residual is abs(sum_i C_i × (T_i,final − T_i,initial) − E_source) divided by max(abs(E_source), 1 J). Source totals are nonnegative but unprovided, preventing independent residual recomputation. This residual concerns net energy, not spatial temperature accuracy.</w:t>
      </w:r>
    </w:p>
    <w:p>
      <w:pPr/>
      <w:r>
        <w:t>The common allocation is 64 bytes per cell: two temperature arrays use 16 bytes, capacity and source arrays 8 each, and padded face-coefficient and face-flux storage 16 each. Two faces per cell are reserved even at boundaries. Active G adds 32 bytes per cell for snapshots, indices, counters, and aligned metadata: 96 bytes total, a 50% increase. The reserve includes padding; not every byte holds snapshot data. Group dimensions divide every mesh dimension. P4 and the beta-zero bypass retain the common allocation. One MiB is 1,048,576 bytes; program text, stack, allocator, libraries, and operating-system memory are excluded.</w:t>
      </w:r>
    </w:p>
    <w:p>
      <w:pPr>
        <w:pStyle w:val="Heading1"/>
      </w:pPr>
      <w:r>
        <w:t>5. Savings depend on overhead and acceptable error</w:t>
      </w:r>
    </w:p>
    <w:p>
      <w:pPr/>
      <w:r>
        <w:rPr>
          <w:highlight w:val="yellow"/>
        </w:rPr>
        <w:t>G's useful cases are the boundary ramp and moving source: it saves time over V where P4 fails the error limit. Figure 2 places these cases beside P4's qualifying slow-plate result and G's two timing losses.</w:t>
      </w:r>
    </w:p>
    <w:p>
      <w:pPr>
        <w:keepNext/>
        <w:spacing w:after="80"/>
        <w:jc w:val="center"/>
      </w:pPr>
      <w:r>
        <w:drawing>
          <wp:inline xmlns:a="http://schemas.openxmlformats.org/drawingml/2006/main" xmlns:pic="http://schemas.openxmlformats.org/drawingml/2006/picture">
            <wp:extent cx="5760000" cy="4321524"/>
            <wp:docPr id="2" name="Picture 2"/>
            <wp:cNvGraphicFramePr>
              <a:graphicFrameLocks noChangeAspect="1"/>
            </wp:cNvGraphicFramePr>
            <a:graphic>
              <a:graphicData uri="http://schemas.openxmlformats.org/drawingml/2006/picture">
                <pic:pic>
                  <pic:nvPicPr>
                    <pic:cNvPr id="0" name="figure2_cost_and_qualification.png"/>
                    <pic:cNvPicPr/>
                  </pic:nvPicPr>
                  <pic:blipFill>
                    <a:blip r:embed="rId12"/>
                    <a:stretch>
                      <a:fillRect/>
                    </a:stretch>
                  </pic:blipFill>
                  <pic:spPr>
                    <a:xfrm>
                      <a:off x="0" y="0"/>
                      <a:ext cx="5760000" cy="4321524"/>
                    </a:xfrm>
                    <a:prstGeom prst="rect"/>
                  </pic:spPr>
                </pic:pic>
              </a:graphicData>
            </a:graphic>
          </wp:inline>
        </w:drawing>
      </w:r>
    </w:p>
    <w:p>
      <w:pPr>
        <w:pStyle w:val="Caption"/>
        <w:keepNext w:val="0"/>
      </w:pPr>
      <w:r>
        <w:t>Figure 2. Read modeled savings with final-temperature error. G uses eta = 0.003 and reserves 50% more array memory when active; the constant-law bypass adds none. (a) Total-time change from V is (t_method/t_V − 1) × 100%; negative values are faster. Crossed diamonds fail the 0.010 K limit. V defines zero change and zero comparison error in each case. (b) Complete slow-plate costs: G removes 90% of face evaluation but only 11.35% of total time. Values are stipulated, without sampled uncertainty; the full accounting records remain in Table 1.</w:t>
      </w:r>
    </w:p>
    <w:p>
      <w:pPr/>
      <w:r>
        <w:t>For the slow plate, G reduces total time from 400 to 354.6 ms, an 11.35% reduction using V as denominator. Removing 90% of face evaluation saves 86.4 ms of coefficient work, but a 35 ms guard and 6 ms more transport leave only 45.4 ms net savings. P4 is faster and uses less memory while also meeting the error limit: 329 ms and 0.006 K error.</w:t>
      </w:r>
    </w:p>
    <w:p>
      <w:pPr/>
      <w:r>
        <w:t>The boundary ramp and moving source reduce G totals from 420 to 390 ms and from 1580 to 1510 ms, with errors of 0.007 and 0.009 K. P4 is faster at 345 and 1285 ms, but its respective errors of 0.024 and 0.071 K fail the limit. G therefore offers an acceptable stipulated alternative in these cases at smaller savings and greater memory cost.</w:t>
      </w:r>
    </w:p>
    <w:p>
      <w:pPr/>
      <w:r>
        <w:t>Switching load reverses the timing result: G evaluates 96% of faces and takes 1723.2 ms versus V's 1600 ms. The small mesh also loses, at 10.32 versus 8 ms with 91% face evaluation. G passes the error rule in both; P4 takes 1300 and 6.5 ms but fails at 0.114 and 0.018 K. Constant conductance gives identical 300 ms totals and memory for all methods. These negative and bypass cases rule out a universal timing advantage in the accounting model.</w:t>
      </w:r>
    </w:p>
    <w:p>
      <w:pPr>
        <w:pStyle w:val="Caption"/>
      </w:pPr>
      <w:r>
        <w:rPr>
          <w:i/>
        </w:rPr>
        <w:t>Table 1. Complete runtime accounting records. Every row has provenance DEMO_STIPULATED, accepted_steps = 1,000, dt_s = 0.1, final_time_s = 100, accuracy_limit_K = 0.010, rejected_trials = 0, and status = ACCEPTED. Eta is 0.003 for G and NA for V/P4. Faces denotes face_eval_pct; energy residual denotes energy_balance_rel. Times are milliseconds; memory is reserved arrays in MiB.</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30"/>
        <w:gridCol w:w="740"/>
        <w:gridCol w:w="710"/>
        <w:gridCol w:w="530"/>
        <w:gridCol w:w="615"/>
        <w:gridCol w:w="970"/>
        <w:gridCol w:w="910"/>
        <w:gridCol w:w="600"/>
        <w:gridCol w:w="550"/>
        <w:gridCol w:w="845"/>
        <w:gridCol w:w="735"/>
        <w:gridCol w:w="775"/>
      </w:tblGrid>
      <w:tr>
        <w:trPr>
          <w:cantSplit/>
          <w:tblHeader/>
        </w:trPr>
        <w:tc>
          <w:tcPr>
            <w:tcW w:type="dxa" w:w="1430"/>
            <w:vAlign w:val="center"/>
            <w:tcMar>
              <w:left w:w="30" w:type="dxa"/>
              <w:right w:w="30" w:type="dxa"/>
            </w:tcMar>
            <w:shd w:fill="EDF0F3"/>
          </w:tcPr>
          <w:p>
            <w:pPr>
              <w:keepNext/>
              <w:spacing w:before="80" w:after="80" w:line="245" w:lineRule="auto"/>
              <w:jc w:val="left"/>
            </w:pPr>
            <w:r>
              <w:rPr>
                <w:b/>
                <w:sz w:val="19"/>
              </w:rPr>
              <w:t>Case</w:t>
            </w:r>
          </w:p>
        </w:tc>
        <w:tc>
          <w:tcPr>
            <w:tcW w:type="dxa" w:w="740"/>
            <w:vAlign w:val="center"/>
            <w:tcMar>
              <w:left w:w="30" w:type="dxa"/>
              <w:right w:w="30" w:type="dxa"/>
            </w:tcMar>
            <w:shd w:fill="EDF0F3"/>
          </w:tcPr>
          <w:p>
            <w:pPr>
              <w:keepNext/>
              <w:spacing w:before="80" w:after="80" w:line="245" w:lineRule="auto"/>
              <w:jc w:val="left"/>
            </w:pPr>
            <w:r>
              <w:rPr>
                <w:b/>
                <w:sz w:val="19"/>
              </w:rPr>
              <w:t>Cells</w:t>
            </w:r>
          </w:p>
        </w:tc>
        <w:tc>
          <w:tcPr>
            <w:tcW w:type="dxa" w:w="710"/>
            <w:vAlign w:val="center"/>
            <w:tcMar>
              <w:left w:w="30" w:type="dxa"/>
              <w:right w:w="30" w:type="dxa"/>
            </w:tcMar>
            <w:shd w:fill="EDF0F3"/>
          </w:tcPr>
          <w:p>
            <w:pPr>
              <w:keepNext/>
              <w:spacing w:before="80" w:after="80" w:line="245" w:lineRule="auto"/>
              <w:jc w:val="left"/>
            </w:pPr>
            <w:r>
              <w:rPr>
                <w:b/>
                <w:sz w:val="19"/>
              </w:rPr>
              <w:t>Method</w:t>
            </w:r>
          </w:p>
        </w:tc>
        <w:tc>
          <w:tcPr>
            <w:tcW w:type="dxa" w:w="530"/>
            <w:vAlign w:val="center"/>
            <w:tcMar>
              <w:left w:w="30" w:type="dxa"/>
              <w:right w:w="30" w:type="dxa"/>
            </w:tcMar>
            <w:shd w:fill="EDF0F3"/>
          </w:tcPr>
          <w:p>
            <w:pPr>
              <w:keepNext/>
              <w:spacing w:before="80" w:after="80" w:line="245" w:lineRule="auto"/>
              <w:jc w:val="left"/>
            </w:pPr>
            <w:r>
              <w:rPr>
                <w:b/>
                <w:sz w:val="19"/>
              </w:rPr>
              <w:t>Faces (%)</w:t>
            </w:r>
          </w:p>
        </w:tc>
        <w:tc>
          <w:tcPr>
            <w:tcW w:type="dxa" w:w="615"/>
            <w:vAlign w:val="center"/>
            <w:tcMar>
              <w:left w:w="30" w:type="dxa"/>
              <w:right w:w="30" w:type="dxa"/>
            </w:tcMar>
            <w:shd w:fill="EDF0F3"/>
          </w:tcPr>
          <w:p>
            <w:pPr>
              <w:keepNext/>
              <w:spacing w:before="80" w:after="80" w:line="245" w:lineRule="auto"/>
              <w:jc w:val="left"/>
            </w:pPr>
            <w:r>
              <w:rPr>
                <w:b/>
                <w:sz w:val="19"/>
              </w:rPr>
              <w:t>Guard</w:t>
            </w:r>
          </w:p>
        </w:tc>
        <w:tc>
          <w:tcPr>
            <w:tcW w:type="dxa" w:w="970"/>
            <w:vAlign w:val="center"/>
            <w:tcMar>
              <w:left w:w="30" w:type="dxa"/>
              <w:right w:w="30" w:type="dxa"/>
            </w:tcMar>
            <w:shd w:fill="EDF0F3"/>
          </w:tcPr>
          <w:p>
            <w:pPr>
              <w:keepNext/>
              <w:spacing w:before="80" w:after="80" w:line="245" w:lineRule="auto"/>
              <w:jc w:val="left"/>
            </w:pPr>
            <w:r>
              <w:rPr>
                <w:b/>
                <w:sz w:val="19"/>
              </w:rPr>
              <w:t>Coefficient</w:t>
            </w:r>
          </w:p>
        </w:tc>
        <w:tc>
          <w:tcPr>
            <w:tcW w:type="dxa" w:w="910"/>
            <w:vAlign w:val="center"/>
            <w:tcMar>
              <w:left w:w="30" w:type="dxa"/>
              <w:right w:w="30" w:type="dxa"/>
            </w:tcMar>
            <w:shd w:fill="EDF0F3"/>
          </w:tcPr>
          <w:p>
            <w:pPr>
              <w:keepNext/>
              <w:spacing w:before="80" w:after="80" w:line="245" w:lineRule="auto"/>
              <w:jc w:val="left"/>
            </w:pPr>
            <w:r>
              <w:rPr>
                <w:b/>
                <w:sz w:val="19"/>
              </w:rPr>
              <w:t>Transport</w:t>
            </w:r>
          </w:p>
        </w:tc>
        <w:tc>
          <w:tcPr>
            <w:tcW w:type="dxa" w:w="600"/>
            <w:vAlign w:val="center"/>
            <w:tcMar>
              <w:left w:w="30" w:type="dxa"/>
              <w:right w:w="30" w:type="dxa"/>
            </w:tcMar>
            <w:shd w:fill="EDF0F3"/>
          </w:tcPr>
          <w:p>
            <w:pPr>
              <w:keepNext/>
              <w:spacing w:before="80" w:after="80" w:line="245" w:lineRule="auto"/>
              <w:jc w:val="left"/>
            </w:pPr>
            <w:r>
              <w:rPr>
                <w:b/>
                <w:sz w:val="19"/>
              </w:rPr>
              <w:t>Total</w:t>
            </w:r>
          </w:p>
        </w:tc>
        <w:tc>
          <w:tcPr>
            <w:tcW w:type="dxa" w:w="550"/>
            <w:vAlign w:val="center"/>
            <w:tcMar>
              <w:left w:w="30" w:type="dxa"/>
              <w:right w:w="30" w:type="dxa"/>
            </w:tcMar>
            <w:shd w:fill="EDF0F3"/>
          </w:tcPr>
          <w:p>
            <w:pPr>
              <w:keepNext/>
              <w:spacing w:before="80" w:after="80" w:line="245" w:lineRule="auto"/>
              <w:jc w:val="left"/>
            </w:pPr>
            <w:r>
              <w:rPr>
                <w:b/>
                <w:sz w:val="19"/>
              </w:rPr>
              <w:t>Error (K)</w:t>
            </w:r>
          </w:p>
        </w:tc>
        <w:tc>
          <w:tcPr>
            <w:tcW w:type="dxa" w:w="845"/>
            <w:vAlign w:val="center"/>
            <w:tcMar>
              <w:left w:w="30" w:type="dxa"/>
              <w:right w:w="30" w:type="dxa"/>
            </w:tcMar>
            <w:shd w:fill="EDF0F3"/>
          </w:tcPr>
          <w:p>
            <w:pPr>
              <w:keepNext/>
              <w:spacing w:before="80" w:after="80" w:line="245" w:lineRule="auto"/>
              <w:jc w:val="left"/>
            </w:pPr>
            <w:r>
              <w:rPr>
                <w:b/>
                <w:sz w:val="19"/>
              </w:rPr>
              <w:t>Accuracy pass</w:t>
            </w:r>
          </w:p>
        </w:tc>
        <w:tc>
          <w:tcPr>
            <w:tcW w:type="dxa" w:w="735"/>
            <w:vAlign w:val="center"/>
            <w:tcMar>
              <w:left w:w="30" w:type="dxa"/>
              <w:right w:w="30" w:type="dxa"/>
            </w:tcMar>
            <w:shd w:fill="EDF0F3"/>
          </w:tcPr>
          <w:p>
            <w:pPr>
              <w:keepNext/>
              <w:spacing w:before="80" w:after="80" w:line="245" w:lineRule="auto"/>
              <w:jc w:val="left"/>
            </w:pPr>
            <w:r>
              <w:rPr>
                <w:b/>
                <w:sz w:val="19"/>
              </w:rPr>
              <w:t>Energy residual</w:t>
            </w:r>
          </w:p>
        </w:tc>
        <w:tc>
          <w:tcPr>
            <w:tcW w:type="dxa" w:w="775"/>
            <w:vAlign w:val="center"/>
            <w:tcMar>
              <w:left w:w="30" w:type="dxa"/>
              <w:right w:w="30" w:type="dxa"/>
            </w:tcMar>
            <w:shd w:fill="EDF0F3"/>
          </w:tcPr>
          <w:p>
            <w:pPr>
              <w:keepNext/>
              <w:spacing w:before="80" w:after="80" w:line="245" w:lineRule="auto"/>
              <w:jc w:val="left"/>
            </w:pPr>
            <w:r>
              <w:rPr>
                <w:b/>
                <w:sz w:val="19"/>
              </w:rPr>
              <w:t>Memory (MiB)</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96</w:t>
            </w:r>
          </w:p>
        </w:tc>
        <w:tc>
          <w:tcPr>
            <w:tcW w:type="dxa" w:w="910"/>
            <w:vAlign w:val="center"/>
            <w:tcMar>
              <w:left w:w="30" w:type="dxa"/>
              <w:right w:w="30" w:type="dxa"/>
            </w:tcMar>
            <w:noWrap/>
          </w:tcPr>
          <w:p>
            <w:pPr>
              <w:keepNext/>
              <w:spacing w:before="80" w:after="80" w:line="245" w:lineRule="auto"/>
              <w:jc w:val="right"/>
            </w:pPr>
            <w:r>
              <w:rPr>
                <w:b w:val="0"/>
                <w:sz w:val="19"/>
              </w:rPr>
              <w:t>304</w:t>
            </w:r>
          </w:p>
        </w:tc>
        <w:tc>
          <w:tcPr>
            <w:tcW w:type="dxa" w:w="600"/>
            <w:vAlign w:val="center"/>
            <w:tcMar>
              <w:left w:w="30" w:type="dxa"/>
              <w:right w:w="30" w:type="dxa"/>
            </w:tcMar>
            <w:noWrap/>
          </w:tcPr>
          <w:p>
            <w:pPr>
              <w:keepNext/>
              <w:spacing w:before="80" w:after="80" w:line="245" w:lineRule="auto"/>
              <w:jc w:val="right"/>
            </w:pPr>
            <w:r>
              <w:rPr>
                <w:b w:val="0"/>
                <w:sz w:val="19"/>
              </w:rPr>
              <w:t>400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1.7e-14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plate_slow</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24</w:t>
            </w:r>
          </w:p>
        </w:tc>
        <w:tc>
          <w:tcPr>
            <w:tcW w:type="dxa" w:w="910"/>
            <w:vAlign w:val="center"/>
            <w:tcMar>
              <w:left w:w="30" w:type="dxa"/>
              <w:right w:w="30" w:type="dxa"/>
            </w:tcMar>
            <w:noWrap/>
          </w:tcPr>
          <w:p>
            <w:pPr>
              <w:keepNext/>
              <w:spacing w:before="80" w:after="80" w:line="245" w:lineRule="auto"/>
              <w:jc w:val="right"/>
            </w:pPr>
            <w:r>
              <w:rPr>
                <w:b w:val="0"/>
                <w:sz w:val="19"/>
              </w:rPr>
              <w:t>305</w:t>
            </w:r>
          </w:p>
        </w:tc>
        <w:tc>
          <w:tcPr>
            <w:tcW w:type="dxa" w:w="600"/>
            <w:vAlign w:val="center"/>
            <w:tcMar>
              <w:left w:w="30" w:type="dxa"/>
              <w:right w:w="30" w:type="dxa"/>
            </w:tcMar>
            <w:noWrap/>
          </w:tcPr>
          <w:p>
            <w:pPr>
              <w:keepNext/>
              <w:spacing w:before="80" w:after="80" w:line="245" w:lineRule="auto"/>
              <w:jc w:val="right"/>
            </w:pPr>
            <w:r>
              <w:rPr>
                <w:b w:val="0"/>
                <w:sz w:val="19"/>
              </w:rPr>
              <w:t>329</w:t>
            </w:r>
          </w:p>
        </w:tc>
        <w:tc>
          <w:tcPr>
            <w:tcW w:type="dxa" w:w="550"/>
            <w:vAlign w:val="center"/>
            <w:tcMar>
              <w:left w:w="30" w:type="dxa"/>
              <w:right w:w="30" w:type="dxa"/>
            </w:tcMar>
            <w:noWrap/>
          </w:tcPr>
          <w:p>
            <w:pPr>
              <w:keepNext/>
              <w:spacing w:before="80" w:after="80" w:line="245" w:lineRule="auto"/>
              <w:jc w:val="right"/>
            </w:pPr>
            <w:r>
              <w:rPr>
                <w:b w:val="0"/>
                <w:sz w:val="19"/>
              </w:rPr>
              <w:t>0.006</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2.1e-14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plate_slow</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10</w:t>
            </w:r>
          </w:p>
        </w:tc>
        <w:tc>
          <w:tcPr>
            <w:tcW w:type="dxa" w:w="615"/>
            <w:vAlign w:val="center"/>
            <w:tcMar>
              <w:left w:w="30" w:type="dxa"/>
              <w:right w:w="30" w:type="dxa"/>
            </w:tcMar>
            <w:noWrap/>
          </w:tcPr>
          <w:p>
            <w:pPr>
              <w:keepNext w:val="0"/>
              <w:spacing w:before="80" w:after="80" w:line="245" w:lineRule="auto"/>
              <w:jc w:val="right"/>
            </w:pPr>
            <w:r>
              <w:rPr>
                <w:b w:val="0"/>
                <w:sz w:val="19"/>
              </w:rPr>
              <w:t>35</w:t>
            </w:r>
          </w:p>
        </w:tc>
        <w:tc>
          <w:tcPr>
            <w:tcW w:type="dxa" w:w="970"/>
            <w:vAlign w:val="center"/>
            <w:tcMar>
              <w:left w:w="30" w:type="dxa"/>
              <w:right w:w="30" w:type="dxa"/>
            </w:tcMar>
            <w:noWrap/>
          </w:tcPr>
          <w:p>
            <w:pPr>
              <w:keepNext w:val="0"/>
              <w:spacing w:before="80" w:after="80" w:line="245" w:lineRule="auto"/>
              <w:jc w:val="right"/>
            </w:pPr>
            <w:r>
              <w:rPr>
                <w:b w:val="0"/>
                <w:sz w:val="19"/>
              </w:rPr>
              <w:t>9.6</w:t>
            </w:r>
          </w:p>
        </w:tc>
        <w:tc>
          <w:tcPr>
            <w:tcW w:type="dxa" w:w="910"/>
            <w:vAlign w:val="center"/>
            <w:tcMar>
              <w:left w:w="30" w:type="dxa"/>
              <w:right w:w="30" w:type="dxa"/>
            </w:tcMar>
            <w:noWrap/>
          </w:tcPr>
          <w:p>
            <w:pPr>
              <w:keepNext w:val="0"/>
              <w:spacing w:before="80" w:after="80" w:line="245" w:lineRule="auto"/>
              <w:jc w:val="right"/>
            </w:pPr>
            <w:r>
              <w:rPr>
                <w:b w:val="0"/>
                <w:sz w:val="19"/>
              </w:rPr>
              <w:t>310</w:t>
            </w:r>
          </w:p>
        </w:tc>
        <w:tc>
          <w:tcPr>
            <w:tcW w:type="dxa" w:w="600"/>
            <w:vAlign w:val="center"/>
            <w:tcMar>
              <w:left w:w="30" w:type="dxa"/>
              <w:right w:w="30" w:type="dxa"/>
            </w:tcMar>
            <w:noWrap/>
          </w:tcPr>
          <w:p>
            <w:pPr>
              <w:keepNext w:val="0"/>
              <w:spacing w:before="80" w:after="80" w:line="245" w:lineRule="auto"/>
              <w:jc w:val="right"/>
            </w:pPr>
            <w:r>
              <w:rPr>
                <w:b w:val="0"/>
                <w:sz w:val="19"/>
              </w:rPr>
              <w:t>354.6</w:t>
            </w:r>
          </w:p>
        </w:tc>
        <w:tc>
          <w:tcPr>
            <w:tcW w:type="dxa" w:w="550"/>
            <w:vAlign w:val="center"/>
            <w:tcMar>
              <w:left w:w="30" w:type="dxa"/>
              <w:right w:w="30" w:type="dxa"/>
            </w:tcMar>
            <w:noWrap/>
          </w:tcPr>
          <w:p>
            <w:pPr>
              <w:keepNext w:val="0"/>
              <w:spacing w:before="80" w:after="80" w:line="245" w:lineRule="auto"/>
              <w:jc w:val="right"/>
            </w:pPr>
            <w:r>
              <w:rPr>
                <w:b w:val="0"/>
                <w:sz w:val="19"/>
              </w:rPr>
              <w:t>0.003</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2.4e-14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420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2.0e-14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boundary_ramp</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25</w:t>
            </w:r>
          </w:p>
        </w:tc>
        <w:tc>
          <w:tcPr>
            <w:tcW w:type="dxa" w:w="910"/>
            <w:vAlign w:val="center"/>
            <w:tcMar>
              <w:left w:w="30" w:type="dxa"/>
              <w:right w:w="30" w:type="dxa"/>
            </w:tcMar>
            <w:noWrap/>
          </w:tcPr>
          <w:p>
            <w:pPr>
              <w:keepNext/>
              <w:spacing w:before="80" w:after="80" w:line="245" w:lineRule="auto"/>
              <w:jc w:val="right"/>
            </w:pPr>
            <w:r>
              <w:rPr>
                <w:b w:val="0"/>
                <w:sz w:val="19"/>
              </w:rPr>
              <w:t>320</w:t>
            </w:r>
          </w:p>
        </w:tc>
        <w:tc>
          <w:tcPr>
            <w:tcW w:type="dxa" w:w="600"/>
            <w:vAlign w:val="center"/>
            <w:tcMar>
              <w:left w:w="30" w:type="dxa"/>
              <w:right w:w="30" w:type="dxa"/>
            </w:tcMar>
            <w:noWrap/>
          </w:tcPr>
          <w:p>
            <w:pPr>
              <w:keepNext/>
              <w:spacing w:before="80" w:after="80" w:line="245" w:lineRule="auto"/>
              <w:jc w:val="right"/>
            </w:pPr>
            <w:r>
              <w:rPr>
                <w:b w:val="0"/>
                <w:sz w:val="19"/>
              </w:rPr>
              <w:t>345</w:t>
            </w:r>
          </w:p>
        </w:tc>
        <w:tc>
          <w:tcPr>
            <w:tcW w:type="dxa" w:w="550"/>
            <w:vAlign w:val="center"/>
            <w:tcMar>
              <w:left w:w="30" w:type="dxa"/>
              <w:right w:w="30" w:type="dxa"/>
            </w:tcMar>
            <w:noWrap/>
          </w:tcPr>
          <w:p>
            <w:pPr>
              <w:keepNext/>
              <w:spacing w:before="80" w:after="80" w:line="245" w:lineRule="auto"/>
              <w:jc w:val="right"/>
            </w:pPr>
            <w:r>
              <w:rPr>
                <w:b w:val="0"/>
                <w:sz w:val="19"/>
              </w:rPr>
              <w:t>0.024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2.6e-14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boundary_ramp</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36</w:t>
            </w:r>
          </w:p>
        </w:tc>
        <w:tc>
          <w:tcPr>
            <w:tcW w:type="dxa" w:w="615"/>
            <w:vAlign w:val="center"/>
            <w:tcMar>
              <w:left w:w="30" w:type="dxa"/>
              <w:right w:w="30" w:type="dxa"/>
            </w:tcMar>
            <w:noWrap/>
          </w:tcPr>
          <w:p>
            <w:pPr>
              <w:keepNext w:val="0"/>
              <w:spacing w:before="80" w:after="80" w:line="245" w:lineRule="auto"/>
              <w:jc w:val="right"/>
            </w:pPr>
            <w:r>
              <w:rPr>
                <w:b w:val="0"/>
                <w:sz w:val="19"/>
              </w:rPr>
              <w:t>36</w:t>
            </w:r>
          </w:p>
        </w:tc>
        <w:tc>
          <w:tcPr>
            <w:tcW w:type="dxa" w:w="970"/>
            <w:vAlign w:val="center"/>
            <w:tcMar>
              <w:left w:w="30" w:type="dxa"/>
              <w:right w:w="30" w:type="dxa"/>
            </w:tcMar>
            <w:noWrap/>
          </w:tcPr>
          <w:p>
            <w:pPr>
              <w:keepNext w:val="0"/>
              <w:spacing w:before="80" w:after="80" w:line="245" w:lineRule="auto"/>
              <w:jc w:val="right"/>
            </w:pPr>
            <w:r>
              <w:rPr>
                <w:b w:val="0"/>
                <w:sz w:val="19"/>
              </w:rPr>
              <w:t>36</w:t>
            </w:r>
          </w:p>
        </w:tc>
        <w:tc>
          <w:tcPr>
            <w:tcW w:type="dxa" w:w="910"/>
            <w:vAlign w:val="center"/>
            <w:tcMar>
              <w:left w:w="30" w:type="dxa"/>
              <w:right w:w="30" w:type="dxa"/>
            </w:tcMar>
            <w:noWrap/>
          </w:tcPr>
          <w:p>
            <w:pPr>
              <w:keepNext w:val="0"/>
              <w:spacing w:before="80" w:after="80" w:line="245" w:lineRule="auto"/>
              <w:jc w:val="right"/>
            </w:pPr>
            <w:r>
              <w:rPr>
                <w:b w:val="0"/>
                <w:sz w:val="19"/>
              </w:rPr>
              <w:t>318</w:t>
            </w:r>
          </w:p>
        </w:tc>
        <w:tc>
          <w:tcPr>
            <w:tcW w:type="dxa" w:w="600"/>
            <w:vAlign w:val="center"/>
            <w:tcMar>
              <w:left w:w="30" w:type="dxa"/>
              <w:right w:w="30" w:type="dxa"/>
            </w:tcMar>
            <w:noWrap/>
          </w:tcPr>
          <w:p>
            <w:pPr>
              <w:keepNext w:val="0"/>
              <w:spacing w:before="80" w:after="80" w:line="245" w:lineRule="auto"/>
              <w:jc w:val="right"/>
            </w:pPr>
            <w:r>
              <w:rPr>
                <w:b w:val="0"/>
                <w:sz w:val="19"/>
              </w:rPr>
              <w:t>390</w:t>
            </w:r>
          </w:p>
        </w:tc>
        <w:tc>
          <w:tcPr>
            <w:tcW w:type="dxa" w:w="550"/>
            <w:vAlign w:val="center"/>
            <w:tcMar>
              <w:left w:w="30" w:type="dxa"/>
              <w:right w:w="30" w:type="dxa"/>
            </w:tcMar>
            <w:noWrap/>
          </w:tcPr>
          <w:p>
            <w:pPr>
              <w:keepNext w:val="0"/>
              <w:spacing w:before="80" w:after="80" w:line="245" w:lineRule="auto"/>
              <w:jc w:val="right"/>
            </w:pPr>
            <w:r>
              <w:rPr>
                <w:b w:val="0"/>
                <w:sz w:val="19"/>
              </w:rPr>
              <w:t>0.007</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2.8e-14</w:t>
            </w:r>
          </w:p>
        </w:tc>
        <w:tc>
          <w:tcPr>
            <w:tcW w:type="dxa" w:w="775"/>
            <w:vAlign w:val="center"/>
            <w:tcMar>
              <w:left w:w="30" w:type="dxa"/>
              <w:right w:w="30" w:type="dxa"/>
            </w:tcMar>
            <w:noWrap/>
          </w:tcPr>
          <w:p>
            <w:pPr>
              <w:keepNext w:val="0"/>
              <w:spacing w:before="80" w:after="80" w:line="245" w:lineRule="auto"/>
              <w:jc w:val="right"/>
            </w:pPr>
            <w:r>
              <w:rPr>
                <w:b w:val="0"/>
                <w:sz w:val="19"/>
              </w:rPr>
              <w:t>24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400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1580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3.0e-14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moving_source</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100</w:t>
            </w:r>
          </w:p>
        </w:tc>
        <w:tc>
          <w:tcPr>
            <w:tcW w:type="dxa" w:w="910"/>
            <w:vAlign w:val="center"/>
            <w:tcMar>
              <w:left w:w="30" w:type="dxa"/>
              <w:right w:w="30" w:type="dxa"/>
            </w:tcMar>
            <w:noWrap/>
          </w:tcPr>
          <w:p>
            <w:pPr>
              <w:keepNext/>
              <w:spacing w:before="80" w:after="80" w:line="245" w:lineRule="auto"/>
              <w:jc w:val="right"/>
            </w:pPr>
            <w:r>
              <w:rPr>
                <w:b w:val="0"/>
                <w:sz w:val="19"/>
              </w:rPr>
              <w:t>1185</w:t>
            </w:r>
          </w:p>
        </w:tc>
        <w:tc>
          <w:tcPr>
            <w:tcW w:type="dxa" w:w="600"/>
            <w:vAlign w:val="center"/>
            <w:tcMar>
              <w:left w:w="30" w:type="dxa"/>
              <w:right w:w="30" w:type="dxa"/>
            </w:tcMar>
            <w:noWrap/>
          </w:tcPr>
          <w:p>
            <w:pPr>
              <w:keepNext/>
              <w:spacing w:before="80" w:after="80" w:line="245" w:lineRule="auto"/>
              <w:jc w:val="right"/>
            </w:pPr>
            <w:r>
              <w:rPr>
                <w:b w:val="0"/>
                <w:sz w:val="19"/>
              </w:rPr>
              <w:t>1285</w:t>
            </w:r>
          </w:p>
        </w:tc>
        <w:tc>
          <w:tcPr>
            <w:tcW w:type="dxa" w:w="550"/>
            <w:vAlign w:val="center"/>
            <w:tcMar>
              <w:left w:w="30" w:type="dxa"/>
              <w:right w:w="30" w:type="dxa"/>
            </w:tcMar>
            <w:noWrap/>
          </w:tcPr>
          <w:p>
            <w:pPr>
              <w:keepNext/>
              <w:spacing w:before="80" w:after="80" w:line="245" w:lineRule="auto"/>
              <w:jc w:val="right"/>
            </w:pPr>
            <w:r>
              <w:rPr>
                <w:b w:val="0"/>
                <w:sz w:val="19"/>
              </w:rPr>
              <w:t>0.071</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3.7e-14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moving_source</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51</w:t>
            </w:r>
          </w:p>
        </w:tc>
        <w:tc>
          <w:tcPr>
            <w:tcW w:type="dxa" w:w="615"/>
            <w:vAlign w:val="center"/>
            <w:tcMar>
              <w:left w:w="30" w:type="dxa"/>
              <w:right w:w="30" w:type="dxa"/>
            </w:tcMar>
            <w:noWrap/>
          </w:tcPr>
          <w:p>
            <w:pPr>
              <w:keepNext w:val="0"/>
              <w:spacing w:before="80" w:after="80" w:line="245" w:lineRule="auto"/>
              <w:jc w:val="right"/>
            </w:pPr>
            <w:r>
              <w:rPr>
                <w:b w:val="0"/>
                <w:sz w:val="19"/>
              </w:rPr>
              <w:t>120</w:t>
            </w:r>
          </w:p>
        </w:tc>
        <w:tc>
          <w:tcPr>
            <w:tcW w:type="dxa" w:w="970"/>
            <w:vAlign w:val="center"/>
            <w:tcMar>
              <w:left w:w="30" w:type="dxa"/>
              <w:right w:w="30" w:type="dxa"/>
            </w:tcMar>
            <w:noWrap/>
          </w:tcPr>
          <w:p>
            <w:pPr>
              <w:keepNext w:val="0"/>
              <w:spacing w:before="80" w:after="80" w:line="245" w:lineRule="auto"/>
              <w:jc w:val="right"/>
            </w:pPr>
            <w:r>
              <w:rPr>
                <w:b w:val="0"/>
                <w:sz w:val="19"/>
              </w:rPr>
              <w:t>204</w:t>
            </w:r>
          </w:p>
        </w:tc>
        <w:tc>
          <w:tcPr>
            <w:tcW w:type="dxa" w:w="910"/>
            <w:vAlign w:val="center"/>
            <w:tcMar>
              <w:left w:w="30" w:type="dxa"/>
              <w:right w:w="30" w:type="dxa"/>
            </w:tcMar>
            <w:noWrap/>
          </w:tcPr>
          <w:p>
            <w:pPr>
              <w:keepNext w:val="0"/>
              <w:spacing w:before="80" w:after="80" w:line="245" w:lineRule="auto"/>
              <w:jc w:val="right"/>
            </w:pPr>
            <w:r>
              <w:rPr>
                <w:b w:val="0"/>
                <w:sz w:val="19"/>
              </w:rPr>
              <w:t>1186</w:t>
            </w:r>
          </w:p>
        </w:tc>
        <w:tc>
          <w:tcPr>
            <w:tcW w:type="dxa" w:w="600"/>
            <w:vAlign w:val="center"/>
            <w:tcMar>
              <w:left w:w="30" w:type="dxa"/>
              <w:right w:w="30" w:type="dxa"/>
            </w:tcMar>
            <w:noWrap/>
          </w:tcPr>
          <w:p>
            <w:pPr>
              <w:keepNext w:val="0"/>
              <w:spacing w:before="80" w:after="80" w:line="245" w:lineRule="auto"/>
              <w:jc w:val="right"/>
            </w:pPr>
            <w:r>
              <w:rPr>
                <w:b w:val="0"/>
                <w:sz w:val="19"/>
              </w:rPr>
              <w:t>1510</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4.1e-14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420</w:t>
            </w:r>
          </w:p>
        </w:tc>
        <w:tc>
          <w:tcPr>
            <w:tcW w:type="dxa" w:w="910"/>
            <w:vAlign w:val="center"/>
            <w:tcMar>
              <w:left w:w="30" w:type="dxa"/>
              <w:right w:w="30" w:type="dxa"/>
            </w:tcMar>
            <w:noWrap/>
          </w:tcPr>
          <w:p>
            <w:pPr>
              <w:keepNext/>
              <w:spacing w:before="80" w:after="80" w:line="245" w:lineRule="auto"/>
              <w:jc w:val="right"/>
            </w:pPr>
            <w:r>
              <w:rPr>
                <w:b w:val="0"/>
                <w:sz w:val="19"/>
              </w:rPr>
              <w:t>1180</w:t>
            </w:r>
          </w:p>
        </w:tc>
        <w:tc>
          <w:tcPr>
            <w:tcW w:type="dxa" w:w="600"/>
            <w:vAlign w:val="center"/>
            <w:tcMar>
              <w:left w:w="30" w:type="dxa"/>
              <w:right w:w="30" w:type="dxa"/>
            </w:tcMar>
            <w:noWrap/>
          </w:tcPr>
          <w:p>
            <w:pPr>
              <w:keepNext/>
              <w:spacing w:before="80" w:after="80" w:line="245" w:lineRule="auto"/>
              <w:jc w:val="right"/>
            </w:pPr>
            <w:r>
              <w:rPr>
                <w:b w:val="0"/>
                <w:sz w:val="19"/>
              </w:rPr>
              <w:t>1600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3.2e-14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spacing w:before="80" w:after="80" w:line="245" w:lineRule="auto"/>
              <w:jc w:val="left"/>
            </w:pPr>
            <w:r>
              <w:rPr>
                <w:b w:val="0"/>
                <w:sz w:val="19"/>
              </w:rPr>
              <w:t>switching_load</w:t>
            </w:r>
          </w:p>
        </w:tc>
        <w:tc>
          <w:tcPr>
            <w:tcW w:type="dxa" w:w="740"/>
            <w:vAlign w:val="center"/>
            <w:tcMar>
              <w:left w:w="30" w:type="dxa"/>
              <w:right w:w="30" w:type="dxa"/>
            </w:tcMar>
            <w:noWrap/>
          </w:tcPr>
          <w:p>
            <w:pPr>
              <w:keepNext/>
              <w:spacing w:before="80" w:after="80" w:line="245" w:lineRule="auto"/>
              <w:jc w:val="right"/>
            </w:pPr>
            <w:r>
              <w:rPr>
                <w:b w:val="0"/>
                <w:sz w:val="19"/>
              </w:rPr>
              <w:t>1048576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105</w:t>
            </w:r>
          </w:p>
        </w:tc>
        <w:tc>
          <w:tcPr>
            <w:tcW w:type="dxa" w:w="910"/>
            <w:vAlign w:val="center"/>
            <w:tcMar>
              <w:left w:w="30" w:type="dxa"/>
              <w:right w:w="30" w:type="dxa"/>
            </w:tcMar>
            <w:noWrap/>
          </w:tcPr>
          <w:p>
            <w:pPr>
              <w:keepNext/>
              <w:spacing w:before="80" w:after="80" w:line="245" w:lineRule="auto"/>
              <w:jc w:val="right"/>
            </w:pPr>
            <w:r>
              <w:rPr>
                <w:b w:val="0"/>
                <w:sz w:val="19"/>
              </w:rPr>
              <w:t>1195</w:t>
            </w:r>
          </w:p>
        </w:tc>
        <w:tc>
          <w:tcPr>
            <w:tcW w:type="dxa" w:w="600"/>
            <w:vAlign w:val="center"/>
            <w:tcMar>
              <w:left w:w="30" w:type="dxa"/>
              <w:right w:w="30" w:type="dxa"/>
            </w:tcMar>
            <w:noWrap/>
          </w:tcPr>
          <w:p>
            <w:pPr>
              <w:keepNext/>
              <w:spacing w:before="80" w:after="80" w:line="245" w:lineRule="auto"/>
              <w:jc w:val="right"/>
            </w:pPr>
            <w:r>
              <w:rPr>
                <w:b w:val="0"/>
                <w:sz w:val="19"/>
              </w:rPr>
              <w:t>1300</w:t>
            </w:r>
          </w:p>
        </w:tc>
        <w:tc>
          <w:tcPr>
            <w:tcW w:type="dxa" w:w="550"/>
            <w:vAlign w:val="center"/>
            <w:tcMar>
              <w:left w:w="30" w:type="dxa"/>
              <w:right w:w="30" w:type="dxa"/>
            </w:tcMar>
            <w:noWrap/>
          </w:tcPr>
          <w:p>
            <w:pPr>
              <w:keepNext/>
              <w:spacing w:before="80" w:after="80" w:line="245" w:lineRule="auto"/>
              <w:jc w:val="right"/>
            </w:pPr>
            <w:r>
              <w:rPr>
                <w:b w:val="0"/>
                <w:sz w:val="19"/>
              </w:rPr>
              <w:t>0.114</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4.5e-14</w:t>
            </w:r>
          </w:p>
        </w:tc>
        <w:tc>
          <w:tcPr>
            <w:tcW w:type="dxa" w:w="775"/>
            <w:vAlign w:val="center"/>
            <w:tcMar>
              <w:left w:w="30" w:type="dxa"/>
              <w:right w:w="30" w:type="dxa"/>
            </w:tcMar>
            <w:noWrap/>
          </w:tcPr>
          <w:p>
            <w:pPr>
              <w:keepNext/>
              <w:spacing w:before="80" w:after="80" w:line="245" w:lineRule="auto"/>
              <w:jc w:val="right"/>
            </w:pPr>
            <w:r>
              <w:rPr>
                <w:b w:val="0"/>
                <w:sz w:val="19"/>
              </w:rPr>
              <w:t>64</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switching_load</w:t>
            </w:r>
          </w:p>
        </w:tc>
        <w:tc>
          <w:tcPr>
            <w:tcW w:type="dxa" w:w="740"/>
            <w:vAlign w:val="center"/>
            <w:tcMar>
              <w:left w:w="30" w:type="dxa"/>
              <w:right w:w="30" w:type="dxa"/>
            </w:tcMar>
            <w:noWrap/>
          </w:tcPr>
          <w:p>
            <w:pPr>
              <w:keepNext w:val="0"/>
              <w:spacing w:before="80" w:after="80" w:line="245" w:lineRule="auto"/>
              <w:jc w:val="right"/>
            </w:pPr>
            <w:r>
              <w:rPr>
                <w:b w:val="0"/>
                <w:sz w:val="19"/>
              </w:rPr>
              <w:t>1048576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96</w:t>
            </w:r>
          </w:p>
        </w:tc>
        <w:tc>
          <w:tcPr>
            <w:tcW w:type="dxa" w:w="615"/>
            <w:vAlign w:val="center"/>
            <w:tcMar>
              <w:left w:w="30" w:type="dxa"/>
              <w:right w:w="30" w:type="dxa"/>
            </w:tcMar>
            <w:noWrap/>
          </w:tcPr>
          <w:p>
            <w:pPr>
              <w:keepNext w:val="0"/>
              <w:spacing w:before="80" w:after="80" w:line="245" w:lineRule="auto"/>
              <w:jc w:val="right"/>
            </w:pPr>
            <w:r>
              <w:rPr>
                <w:b w:val="0"/>
                <w:sz w:val="19"/>
              </w:rPr>
              <w:t>130</w:t>
            </w:r>
          </w:p>
        </w:tc>
        <w:tc>
          <w:tcPr>
            <w:tcW w:type="dxa" w:w="970"/>
            <w:vAlign w:val="center"/>
            <w:tcMar>
              <w:left w:w="30" w:type="dxa"/>
              <w:right w:w="30" w:type="dxa"/>
            </w:tcMar>
            <w:noWrap/>
          </w:tcPr>
          <w:p>
            <w:pPr>
              <w:keepNext w:val="0"/>
              <w:spacing w:before="80" w:after="80" w:line="245" w:lineRule="auto"/>
              <w:jc w:val="right"/>
            </w:pPr>
            <w:r>
              <w:rPr>
                <w:b w:val="0"/>
                <w:sz w:val="19"/>
              </w:rPr>
              <w:t>403.2</w:t>
            </w:r>
          </w:p>
        </w:tc>
        <w:tc>
          <w:tcPr>
            <w:tcW w:type="dxa" w:w="910"/>
            <w:vAlign w:val="center"/>
            <w:tcMar>
              <w:left w:w="30" w:type="dxa"/>
              <w:right w:w="30" w:type="dxa"/>
            </w:tcMar>
            <w:noWrap/>
          </w:tcPr>
          <w:p>
            <w:pPr>
              <w:keepNext w:val="0"/>
              <w:spacing w:before="80" w:after="80" w:line="245" w:lineRule="auto"/>
              <w:jc w:val="right"/>
            </w:pPr>
            <w:r>
              <w:rPr>
                <w:b w:val="0"/>
                <w:sz w:val="19"/>
              </w:rPr>
              <w:t>1190</w:t>
            </w:r>
          </w:p>
        </w:tc>
        <w:tc>
          <w:tcPr>
            <w:tcW w:type="dxa" w:w="600"/>
            <w:vAlign w:val="center"/>
            <w:tcMar>
              <w:left w:w="30" w:type="dxa"/>
              <w:right w:w="30" w:type="dxa"/>
            </w:tcMar>
            <w:noWrap/>
          </w:tcPr>
          <w:p>
            <w:pPr>
              <w:keepNext w:val="0"/>
              <w:spacing w:before="80" w:after="80" w:line="245" w:lineRule="auto"/>
              <w:jc w:val="right"/>
            </w:pPr>
            <w:r>
              <w:rPr>
                <w:b w:val="0"/>
                <w:sz w:val="19"/>
              </w:rPr>
              <w:t>1723.2</w:t>
            </w:r>
          </w:p>
        </w:tc>
        <w:tc>
          <w:tcPr>
            <w:tcW w:type="dxa" w:w="550"/>
            <w:vAlign w:val="center"/>
            <w:tcMar>
              <w:left w:w="30" w:type="dxa"/>
              <w:right w:w="30" w:type="dxa"/>
            </w:tcMar>
            <w:noWrap/>
          </w:tcPr>
          <w:p>
            <w:pPr>
              <w:keepNext w:val="0"/>
              <w:spacing w:before="80" w:after="80" w:line="245" w:lineRule="auto"/>
              <w:jc w:val="right"/>
            </w:pPr>
            <w:r>
              <w:rPr>
                <w:b w:val="0"/>
                <w:sz w:val="19"/>
              </w:rPr>
              <w:t>0.009</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4.8e-14</w:t>
            </w:r>
          </w:p>
        </w:tc>
        <w:tc>
          <w:tcPr>
            <w:tcW w:type="dxa" w:w="775"/>
            <w:vAlign w:val="center"/>
            <w:tcMar>
              <w:left w:w="30" w:type="dxa"/>
              <w:right w:w="30" w:type="dxa"/>
            </w:tcMar>
            <w:noWrap/>
          </w:tcPr>
          <w:p>
            <w:pPr>
              <w:keepNext w:val="0"/>
              <w:spacing w:before="80" w:after="80" w:line="245" w:lineRule="auto"/>
              <w:jc w:val="right"/>
            </w:pPr>
            <w:r>
              <w:rPr>
                <w:b w:val="0"/>
                <w:sz w:val="19"/>
              </w:rPr>
              <w:t>96</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100</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2</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8</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8.0e-15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spacing w:before="80" w:after="80" w:line="245" w:lineRule="auto"/>
              <w:jc w:val="left"/>
            </w:pPr>
            <w:r>
              <w:rPr>
                <w:b w:val="0"/>
                <w:sz w:val="19"/>
              </w:rPr>
              <w:t>small_mesh</w:t>
            </w:r>
          </w:p>
        </w:tc>
        <w:tc>
          <w:tcPr>
            <w:tcW w:type="dxa" w:w="740"/>
            <w:vAlign w:val="center"/>
            <w:tcMar>
              <w:left w:w="30" w:type="dxa"/>
              <w:right w:w="30" w:type="dxa"/>
            </w:tcMar>
            <w:noWrap/>
          </w:tcPr>
          <w:p>
            <w:pPr>
              <w:keepNext/>
              <w:spacing w:before="80" w:after="80" w:line="245" w:lineRule="auto"/>
              <w:jc w:val="right"/>
            </w:pPr>
            <w:r>
              <w:rPr>
                <w:b w:val="0"/>
                <w:sz w:val="19"/>
              </w:rPr>
              <w:t>4096</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25</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0.5</w:t>
            </w:r>
          </w:p>
        </w:tc>
        <w:tc>
          <w:tcPr>
            <w:tcW w:type="dxa" w:w="910"/>
            <w:vAlign w:val="center"/>
            <w:tcMar>
              <w:left w:w="30" w:type="dxa"/>
              <w:right w:w="30" w:type="dxa"/>
            </w:tcMar>
            <w:noWrap/>
          </w:tcPr>
          <w:p>
            <w:pPr>
              <w:keepNext/>
              <w:spacing w:before="80" w:after="80" w:line="245" w:lineRule="auto"/>
              <w:jc w:val="right"/>
            </w:pPr>
            <w:r>
              <w:rPr>
                <w:b w:val="0"/>
                <w:sz w:val="19"/>
              </w:rPr>
              <w:t>6</w:t>
            </w:r>
          </w:p>
        </w:tc>
        <w:tc>
          <w:tcPr>
            <w:tcW w:type="dxa" w:w="600"/>
            <w:vAlign w:val="center"/>
            <w:tcMar>
              <w:left w:w="30" w:type="dxa"/>
              <w:right w:w="30" w:type="dxa"/>
            </w:tcMar>
            <w:noWrap/>
          </w:tcPr>
          <w:p>
            <w:pPr>
              <w:keepNext/>
              <w:spacing w:before="80" w:after="80" w:line="245" w:lineRule="auto"/>
              <w:jc w:val="right"/>
            </w:pPr>
            <w:r>
              <w:rPr>
                <w:b w:val="0"/>
                <w:sz w:val="19"/>
              </w:rPr>
              <w:t>6.5</w:t>
            </w:r>
          </w:p>
        </w:tc>
        <w:tc>
          <w:tcPr>
            <w:tcW w:type="dxa" w:w="550"/>
            <w:vAlign w:val="center"/>
            <w:tcMar>
              <w:left w:w="30" w:type="dxa"/>
              <w:right w:w="30" w:type="dxa"/>
            </w:tcMar>
            <w:noWrap/>
          </w:tcPr>
          <w:p>
            <w:pPr>
              <w:keepNext/>
              <w:spacing w:before="80" w:after="80" w:line="245" w:lineRule="auto"/>
              <w:jc w:val="right"/>
            </w:pPr>
            <w:r>
              <w:rPr>
                <w:b w:val="0"/>
                <w:sz w:val="19"/>
              </w:rPr>
              <w:t>0.018</w:t>
            </w:r>
          </w:p>
        </w:tc>
        <w:tc>
          <w:tcPr>
            <w:tcW w:type="dxa" w:w="845"/>
            <w:vAlign w:val="center"/>
            <w:tcMar>
              <w:left w:w="30" w:type="dxa"/>
              <w:right w:w="30" w:type="dxa"/>
            </w:tcMar>
          </w:tcPr>
          <w:p>
            <w:pPr>
              <w:keepNext/>
              <w:spacing w:before="80" w:after="80" w:line="245" w:lineRule="auto"/>
              <w:jc w:val="left"/>
            </w:pPr>
            <w:r>
              <w:rPr>
                <w:b w:val="0"/>
                <w:sz w:val="19"/>
              </w:rPr>
              <w:t>FALSE</w:t>
            </w:r>
          </w:p>
        </w:tc>
        <w:tc>
          <w:tcPr>
            <w:tcW w:type="dxa" w:w="735"/>
            <w:vAlign w:val="center"/>
            <w:tcMar>
              <w:left w:w="30" w:type="dxa"/>
              <w:right w:w="30" w:type="dxa"/>
            </w:tcMar>
            <w:noWrap/>
          </w:tcPr>
          <w:p>
            <w:pPr>
              <w:keepNext/>
              <w:spacing w:before="80" w:after="80" w:line="245" w:lineRule="auto"/>
              <w:jc w:val="left"/>
            </w:pPr>
            <w:r>
              <w:rPr>
                <w:b w:val="0"/>
                <w:sz w:val="19"/>
              </w:rPr>
              <w:t>8.8e-15</w:t>
            </w:r>
          </w:p>
        </w:tc>
        <w:tc>
          <w:tcPr>
            <w:tcW w:type="dxa" w:w="775"/>
            <w:vAlign w:val="center"/>
            <w:tcMar>
              <w:left w:w="30" w:type="dxa"/>
              <w:right w:w="30" w:type="dxa"/>
            </w:tcMar>
            <w:noWrap/>
          </w:tcPr>
          <w:p>
            <w:pPr>
              <w:keepNext/>
              <w:spacing w:before="80" w:after="80" w:line="245" w:lineRule="auto"/>
              <w:jc w:val="right"/>
            </w:pPr>
            <w:r>
              <w:rPr>
                <w:b w:val="0"/>
                <w:sz w:val="19"/>
              </w:rPr>
              <w:t>0.25</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small_mesh</w:t>
            </w:r>
          </w:p>
        </w:tc>
        <w:tc>
          <w:tcPr>
            <w:tcW w:type="dxa" w:w="740"/>
            <w:vAlign w:val="center"/>
            <w:tcMar>
              <w:left w:w="30" w:type="dxa"/>
              <w:right w:w="30" w:type="dxa"/>
            </w:tcMar>
            <w:noWrap/>
          </w:tcPr>
          <w:p>
            <w:pPr>
              <w:keepNext w:val="0"/>
              <w:spacing w:before="80" w:after="80" w:line="245" w:lineRule="auto"/>
              <w:jc w:val="right"/>
            </w:pPr>
            <w:r>
              <w:rPr>
                <w:b w:val="0"/>
                <w:sz w:val="19"/>
              </w:rPr>
              <w:t>4096</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91</w:t>
            </w:r>
          </w:p>
        </w:tc>
        <w:tc>
          <w:tcPr>
            <w:tcW w:type="dxa" w:w="615"/>
            <w:vAlign w:val="center"/>
            <w:tcMar>
              <w:left w:w="30" w:type="dxa"/>
              <w:right w:w="30" w:type="dxa"/>
            </w:tcMar>
            <w:noWrap/>
          </w:tcPr>
          <w:p>
            <w:pPr>
              <w:keepNext w:val="0"/>
              <w:spacing w:before="80" w:after="80" w:line="245" w:lineRule="auto"/>
              <w:jc w:val="right"/>
            </w:pPr>
            <w:r>
              <w:rPr>
                <w:b w:val="0"/>
                <w:sz w:val="19"/>
              </w:rPr>
              <w:t>2.3</w:t>
            </w:r>
          </w:p>
        </w:tc>
        <w:tc>
          <w:tcPr>
            <w:tcW w:type="dxa" w:w="970"/>
            <w:vAlign w:val="center"/>
            <w:tcMar>
              <w:left w:w="30" w:type="dxa"/>
              <w:right w:w="30" w:type="dxa"/>
            </w:tcMar>
            <w:noWrap/>
          </w:tcPr>
          <w:p>
            <w:pPr>
              <w:keepNext w:val="0"/>
              <w:spacing w:before="80" w:after="80" w:line="245" w:lineRule="auto"/>
              <w:jc w:val="right"/>
            </w:pPr>
            <w:r>
              <w:rPr>
                <w:b w:val="0"/>
                <w:sz w:val="19"/>
              </w:rPr>
              <w:t>1.82</w:t>
            </w:r>
          </w:p>
        </w:tc>
        <w:tc>
          <w:tcPr>
            <w:tcW w:type="dxa" w:w="910"/>
            <w:vAlign w:val="center"/>
            <w:tcMar>
              <w:left w:w="30" w:type="dxa"/>
              <w:right w:w="30" w:type="dxa"/>
            </w:tcMar>
            <w:noWrap/>
          </w:tcPr>
          <w:p>
            <w:pPr>
              <w:keepNext w:val="0"/>
              <w:spacing w:before="80" w:after="80" w:line="245" w:lineRule="auto"/>
              <w:jc w:val="right"/>
            </w:pPr>
            <w:r>
              <w:rPr>
                <w:b w:val="0"/>
                <w:sz w:val="19"/>
              </w:rPr>
              <w:t>6.2</w:t>
            </w:r>
          </w:p>
        </w:tc>
        <w:tc>
          <w:tcPr>
            <w:tcW w:type="dxa" w:w="600"/>
            <w:vAlign w:val="center"/>
            <w:tcMar>
              <w:left w:w="30" w:type="dxa"/>
              <w:right w:w="30" w:type="dxa"/>
            </w:tcMar>
            <w:noWrap/>
          </w:tcPr>
          <w:p>
            <w:pPr>
              <w:keepNext w:val="0"/>
              <w:spacing w:before="80" w:after="80" w:line="245" w:lineRule="auto"/>
              <w:jc w:val="right"/>
            </w:pPr>
            <w:r>
              <w:rPr>
                <w:b w:val="0"/>
                <w:sz w:val="19"/>
              </w:rPr>
              <w:t>10.32</w:t>
            </w:r>
          </w:p>
        </w:tc>
        <w:tc>
          <w:tcPr>
            <w:tcW w:type="dxa" w:w="550"/>
            <w:vAlign w:val="center"/>
            <w:tcMar>
              <w:left w:w="30" w:type="dxa"/>
              <w:right w:w="30" w:type="dxa"/>
            </w:tcMar>
            <w:noWrap/>
          </w:tcPr>
          <w:p>
            <w:pPr>
              <w:keepNext w:val="0"/>
              <w:spacing w:before="80" w:after="80" w:line="245" w:lineRule="auto"/>
              <w:jc w:val="right"/>
            </w:pPr>
            <w:r>
              <w:rPr>
                <w:b w:val="0"/>
                <w:sz w:val="19"/>
              </w:rPr>
              <w:t>0.002</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9.0e-15</w:t>
            </w:r>
          </w:p>
        </w:tc>
        <w:tc>
          <w:tcPr>
            <w:tcW w:type="dxa" w:w="775"/>
            <w:vAlign w:val="center"/>
            <w:tcMar>
              <w:left w:w="30" w:type="dxa"/>
              <w:right w:w="30" w:type="dxa"/>
            </w:tcMar>
            <w:noWrap/>
          </w:tcPr>
          <w:p>
            <w:pPr>
              <w:keepNext w:val="0"/>
              <w:spacing w:before="80" w:after="80" w:line="245" w:lineRule="auto"/>
              <w:jc w:val="right"/>
            </w:pPr>
            <w:r>
              <w:rPr>
                <w:b w:val="0"/>
                <w:sz w:val="19"/>
              </w:rPr>
              <w:t>0.375</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V</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spacing w:before="80" w:after="80" w:line="245" w:lineRule="auto"/>
              <w:jc w:val="left"/>
            </w:pPr>
            <w:r>
              <w:rPr>
                <w:b w:val="0"/>
                <w:sz w:val="19"/>
              </w:rPr>
              <w:t>static_conduction</w:t>
            </w:r>
          </w:p>
        </w:tc>
        <w:tc>
          <w:tcPr>
            <w:tcW w:type="dxa" w:w="740"/>
            <w:vAlign w:val="center"/>
            <w:tcMar>
              <w:left w:w="30" w:type="dxa"/>
              <w:right w:w="30" w:type="dxa"/>
            </w:tcMar>
            <w:noWrap/>
          </w:tcPr>
          <w:p>
            <w:pPr>
              <w:keepNext/>
              <w:spacing w:before="80" w:after="80" w:line="245" w:lineRule="auto"/>
              <w:jc w:val="right"/>
            </w:pPr>
            <w:r>
              <w:rPr>
                <w:b w:val="0"/>
                <w:sz w:val="19"/>
              </w:rPr>
              <w:t>262144</w:t>
            </w:r>
          </w:p>
        </w:tc>
        <w:tc>
          <w:tcPr>
            <w:tcW w:type="dxa" w:w="710"/>
            <w:vAlign w:val="center"/>
            <w:tcMar>
              <w:left w:w="30" w:type="dxa"/>
              <w:right w:w="30" w:type="dxa"/>
            </w:tcMar>
          </w:tcPr>
          <w:p>
            <w:pPr>
              <w:keepNext/>
              <w:spacing w:before="80" w:after="80" w:line="245" w:lineRule="auto"/>
              <w:jc w:val="left"/>
            </w:pPr>
            <w:r>
              <w:rPr>
                <w:b w:val="0"/>
                <w:sz w:val="19"/>
              </w:rPr>
              <w:t>P4</w:t>
            </w:r>
          </w:p>
        </w:tc>
        <w:tc>
          <w:tcPr>
            <w:tcW w:type="dxa" w:w="530"/>
            <w:vAlign w:val="center"/>
            <w:tcMar>
              <w:left w:w="30" w:type="dxa"/>
              <w:right w:w="30" w:type="dxa"/>
            </w:tcMar>
            <w:noWrap/>
          </w:tcPr>
          <w:p>
            <w:pPr>
              <w:keepNext/>
              <w:spacing w:before="80" w:after="80" w:line="245" w:lineRule="auto"/>
              <w:jc w:val="right"/>
            </w:pPr>
            <w:r>
              <w:rPr>
                <w:b w:val="0"/>
                <w:sz w:val="19"/>
              </w:rPr>
              <w:t>0.1</w:t>
            </w:r>
          </w:p>
        </w:tc>
        <w:tc>
          <w:tcPr>
            <w:tcW w:type="dxa" w:w="615"/>
            <w:vAlign w:val="center"/>
            <w:tcMar>
              <w:left w:w="30" w:type="dxa"/>
              <w:right w:w="30" w:type="dxa"/>
            </w:tcMar>
            <w:noWrap/>
          </w:tcPr>
          <w:p>
            <w:pPr>
              <w:keepNext/>
              <w:spacing w:before="80" w:after="80" w:line="245" w:lineRule="auto"/>
              <w:jc w:val="right"/>
            </w:pPr>
            <w:r>
              <w:rPr>
                <w:b w:val="0"/>
                <w:sz w:val="19"/>
              </w:rPr>
              <w:t>0</w:t>
            </w:r>
          </w:p>
        </w:tc>
        <w:tc>
          <w:tcPr>
            <w:tcW w:type="dxa" w:w="970"/>
            <w:vAlign w:val="center"/>
            <w:tcMar>
              <w:left w:w="30" w:type="dxa"/>
              <w:right w:w="30" w:type="dxa"/>
            </w:tcMar>
            <w:noWrap/>
          </w:tcPr>
          <w:p>
            <w:pPr>
              <w:keepNext/>
              <w:spacing w:before="80" w:after="80" w:line="245" w:lineRule="auto"/>
              <w:jc w:val="right"/>
            </w:pPr>
            <w:r>
              <w:rPr>
                <w:b w:val="0"/>
                <w:sz w:val="19"/>
              </w:rPr>
              <w:t>0.1</w:t>
            </w:r>
          </w:p>
        </w:tc>
        <w:tc>
          <w:tcPr>
            <w:tcW w:type="dxa" w:w="910"/>
            <w:vAlign w:val="center"/>
            <w:tcMar>
              <w:left w:w="30" w:type="dxa"/>
              <w:right w:w="30" w:type="dxa"/>
            </w:tcMar>
            <w:noWrap/>
          </w:tcPr>
          <w:p>
            <w:pPr>
              <w:keepNext/>
              <w:spacing w:before="80" w:after="80" w:line="245" w:lineRule="auto"/>
              <w:jc w:val="right"/>
            </w:pPr>
            <w:r>
              <w:rPr>
                <w:b w:val="0"/>
                <w:sz w:val="19"/>
              </w:rPr>
              <w:t>299.9</w:t>
            </w:r>
          </w:p>
        </w:tc>
        <w:tc>
          <w:tcPr>
            <w:tcW w:type="dxa" w:w="600"/>
            <w:vAlign w:val="center"/>
            <w:tcMar>
              <w:left w:w="30" w:type="dxa"/>
              <w:right w:w="30" w:type="dxa"/>
            </w:tcMar>
            <w:noWrap/>
          </w:tcPr>
          <w:p>
            <w:pPr>
              <w:keepNext/>
              <w:spacing w:before="80" w:after="80" w:line="245" w:lineRule="auto"/>
              <w:jc w:val="right"/>
            </w:pPr>
            <w:r>
              <w:rPr>
                <w:b w:val="0"/>
                <w:sz w:val="19"/>
              </w:rPr>
              <w:t>300</w:t>
            </w:r>
          </w:p>
        </w:tc>
        <w:tc>
          <w:tcPr>
            <w:tcW w:type="dxa" w:w="550"/>
            <w:vAlign w:val="center"/>
            <w:tcMar>
              <w:left w:w="30" w:type="dxa"/>
              <w:right w:w="30" w:type="dxa"/>
            </w:tcMar>
            <w:noWrap/>
          </w:tcPr>
          <w:p>
            <w:pPr>
              <w:keepNext/>
              <w:spacing w:before="80" w:after="80" w:line="245" w:lineRule="auto"/>
              <w:jc w:val="right"/>
            </w:pPr>
            <w:r>
              <w:rPr>
                <w:b w:val="0"/>
                <w:sz w:val="19"/>
              </w:rPr>
              <w:t>0</w:t>
            </w:r>
          </w:p>
        </w:tc>
        <w:tc>
          <w:tcPr>
            <w:tcW w:type="dxa" w:w="845"/>
            <w:vAlign w:val="center"/>
            <w:tcMar>
              <w:left w:w="30" w:type="dxa"/>
              <w:right w:w="30" w:type="dxa"/>
            </w:tcMar>
          </w:tcPr>
          <w:p>
            <w:pPr>
              <w:keepNext/>
              <w:spacing w:before="80" w:after="80" w:line="245" w:lineRule="auto"/>
              <w:jc w:val="left"/>
            </w:pPr>
            <w:r>
              <w:rPr>
                <w:b w:val="0"/>
                <w:sz w:val="19"/>
              </w:rPr>
              <w:t>TRUE</w:t>
            </w:r>
          </w:p>
        </w:tc>
        <w:tc>
          <w:tcPr>
            <w:tcW w:type="dxa" w:w="735"/>
            <w:vAlign w:val="center"/>
            <w:tcMar>
              <w:left w:w="30" w:type="dxa"/>
              <w:right w:w="30" w:type="dxa"/>
            </w:tcMar>
            <w:noWrap/>
          </w:tcPr>
          <w:p>
            <w:pPr>
              <w:keepNext/>
              <w:spacing w:before="80" w:after="80" w:line="245" w:lineRule="auto"/>
              <w:jc w:val="left"/>
            </w:pPr>
            <w:r>
              <w:rPr>
                <w:b w:val="0"/>
                <w:sz w:val="19"/>
              </w:rPr>
              <w:t>1.5e-14</w:t>
            </w:r>
          </w:p>
        </w:tc>
        <w:tc>
          <w:tcPr>
            <w:tcW w:type="dxa" w:w="775"/>
            <w:vAlign w:val="center"/>
            <w:tcMar>
              <w:left w:w="30" w:type="dxa"/>
              <w:right w:w="30" w:type="dxa"/>
            </w:tcMar>
            <w:noWrap/>
          </w:tcPr>
          <w:p>
            <w:pPr>
              <w:keepNext/>
              <w:spacing w:before="80" w:after="80" w:line="245" w:lineRule="auto"/>
              <w:jc w:val="right"/>
            </w:pPr>
            <w:r>
              <w:rPr>
                <w:b w:val="0"/>
                <w:sz w:val="19"/>
              </w:rPr>
              <w:t>16</w:t>
            </w:r>
          </w:p>
        </w:tc>
      </w:tr>
      <w:tr>
        <w:trPr>
          <w:cantSplit/>
        </w:trPr>
        <w:tc>
          <w:tcPr>
            <w:tcW w:type="dxa" w:w="1430"/>
            <w:vAlign w:val="center"/>
            <w:tcMar>
              <w:left w:w="30" w:type="dxa"/>
              <w:right w:w="30" w:type="dxa"/>
            </w:tcMar>
          </w:tcPr>
          <w:p>
            <w:pPr>
              <w:keepNext w:val="0"/>
              <w:spacing w:before="80" w:after="80" w:line="245" w:lineRule="auto"/>
              <w:jc w:val="left"/>
            </w:pPr>
            <w:r>
              <w:rPr>
                <w:b w:val="0"/>
                <w:sz w:val="19"/>
              </w:rPr>
              <w:t>static_conduction</w:t>
            </w:r>
          </w:p>
        </w:tc>
        <w:tc>
          <w:tcPr>
            <w:tcW w:type="dxa" w:w="740"/>
            <w:vAlign w:val="center"/>
            <w:tcMar>
              <w:left w:w="30" w:type="dxa"/>
              <w:right w:w="30" w:type="dxa"/>
            </w:tcMar>
            <w:noWrap/>
          </w:tcPr>
          <w:p>
            <w:pPr>
              <w:keepNext w:val="0"/>
              <w:spacing w:before="80" w:after="80" w:line="245" w:lineRule="auto"/>
              <w:jc w:val="right"/>
            </w:pPr>
            <w:r>
              <w:rPr>
                <w:b w:val="0"/>
                <w:sz w:val="19"/>
              </w:rPr>
              <w:t>262144</w:t>
            </w:r>
          </w:p>
        </w:tc>
        <w:tc>
          <w:tcPr>
            <w:tcW w:type="dxa" w:w="710"/>
            <w:vAlign w:val="center"/>
            <w:tcMar>
              <w:left w:w="30" w:type="dxa"/>
              <w:right w:w="30" w:type="dxa"/>
            </w:tcMar>
          </w:tcPr>
          <w:p>
            <w:pPr>
              <w:keepNext w:val="0"/>
              <w:spacing w:before="80" w:after="80" w:line="245" w:lineRule="auto"/>
              <w:jc w:val="left"/>
            </w:pPr>
            <w:r>
              <w:rPr>
                <w:b w:val="0"/>
                <w:sz w:val="19"/>
              </w:rPr>
              <w:t>G</w:t>
            </w:r>
          </w:p>
        </w:tc>
        <w:tc>
          <w:tcPr>
            <w:tcW w:type="dxa" w:w="530"/>
            <w:vAlign w:val="center"/>
            <w:tcMar>
              <w:left w:w="30" w:type="dxa"/>
              <w:right w:w="30" w:type="dxa"/>
            </w:tcMar>
            <w:noWrap/>
          </w:tcPr>
          <w:p>
            <w:pPr>
              <w:keepNext w:val="0"/>
              <w:spacing w:before="80" w:after="80" w:line="245" w:lineRule="auto"/>
              <w:jc w:val="right"/>
            </w:pPr>
            <w:r>
              <w:rPr>
                <w:b w:val="0"/>
                <w:sz w:val="19"/>
              </w:rPr>
              <w:t>0.1</w:t>
            </w:r>
          </w:p>
        </w:tc>
        <w:tc>
          <w:tcPr>
            <w:tcW w:type="dxa" w:w="615"/>
            <w:vAlign w:val="center"/>
            <w:tcMar>
              <w:left w:w="30" w:type="dxa"/>
              <w:right w:w="30" w:type="dxa"/>
            </w:tcMar>
            <w:noWrap/>
          </w:tcPr>
          <w:p>
            <w:pPr>
              <w:keepNext w:val="0"/>
              <w:spacing w:before="80" w:after="80" w:line="245" w:lineRule="auto"/>
              <w:jc w:val="right"/>
            </w:pPr>
            <w:r>
              <w:rPr>
                <w:b w:val="0"/>
                <w:sz w:val="19"/>
              </w:rPr>
              <w:t>0</w:t>
            </w:r>
          </w:p>
        </w:tc>
        <w:tc>
          <w:tcPr>
            <w:tcW w:type="dxa" w:w="970"/>
            <w:vAlign w:val="center"/>
            <w:tcMar>
              <w:left w:w="30" w:type="dxa"/>
              <w:right w:w="30" w:type="dxa"/>
            </w:tcMar>
            <w:noWrap/>
          </w:tcPr>
          <w:p>
            <w:pPr>
              <w:keepNext w:val="0"/>
              <w:spacing w:before="80" w:after="80" w:line="245" w:lineRule="auto"/>
              <w:jc w:val="right"/>
            </w:pPr>
            <w:r>
              <w:rPr>
                <w:b w:val="0"/>
                <w:sz w:val="19"/>
              </w:rPr>
              <w:t>0.1</w:t>
            </w:r>
          </w:p>
        </w:tc>
        <w:tc>
          <w:tcPr>
            <w:tcW w:type="dxa" w:w="910"/>
            <w:vAlign w:val="center"/>
            <w:tcMar>
              <w:left w:w="30" w:type="dxa"/>
              <w:right w:w="30" w:type="dxa"/>
            </w:tcMar>
            <w:noWrap/>
          </w:tcPr>
          <w:p>
            <w:pPr>
              <w:keepNext w:val="0"/>
              <w:spacing w:before="80" w:after="80" w:line="245" w:lineRule="auto"/>
              <w:jc w:val="right"/>
            </w:pPr>
            <w:r>
              <w:rPr>
                <w:b w:val="0"/>
                <w:sz w:val="19"/>
              </w:rPr>
              <w:t>299.9</w:t>
            </w:r>
          </w:p>
        </w:tc>
        <w:tc>
          <w:tcPr>
            <w:tcW w:type="dxa" w:w="600"/>
            <w:vAlign w:val="center"/>
            <w:tcMar>
              <w:left w:w="30" w:type="dxa"/>
              <w:right w:w="30" w:type="dxa"/>
            </w:tcMar>
            <w:noWrap/>
          </w:tcPr>
          <w:p>
            <w:pPr>
              <w:keepNext w:val="0"/>
              <w:spacing w:before="80" w:after="80" w:line="245" w:lineRule="auto"/>
              <w:jc w:val="right"/>
            </w:pPr>
            <w:r>
              <w:rPr>
                <w:b w:val="0"/>
                <w:sz w:val="19"/>
              </w:rPr>
              <w:t>300</w:t>
            </w:r>
          </w:p>
        </w:tc>
        <w:tc>
          <w:tcPr>
            <w:tcW w:type="dxa" w:w="550"/>
            <w:vAlign w:val="center"/>
            <w:tcMar>
              <w:left w:w="30" w:type="dxa"/>
              <w:right w:w="30" w:type="dxa"/>
            </w:tcMar>
            <w:noWrap/>
          </w:tcPr>
          <w:p>
            <w:pPr>
              <w:keepNext w:val="0"/>
              <w:spacing w:before="80" w:after="80" w:line="245" w:lineRule="auto"/>
              <w:jc w:val="right"/>
            </w:pPr>
            <w:r>
              <w:rPr>
                <w:b w:val="0"/>
                <w:sz w:val="19"/>
              </w:rPr>
              <w:t>0</w:t>
            </w:r>
          </w:p>
        </w:tc>
        <w:tc>
          <w:tcPr>
            <w:tcW w:type="dxa" w:w="845"/>
            <w:vAlign w:val="center"/>
            <w:tcMar>
              <w:left w:w="30" w:type="dxa"/>
              <w:right w:w="30" w:type="dxa"/>
            </w:tcMar>
          </w:tcPr>
          <w:p>
            <w:pPr>
              <w:keepNext w:val="0"/>
              <w:spacing w:before="80" w:after="80" w:line="245" w:lineRule="auto"/>
              <w:jc w:val="left"/>
            </w:pPr>
            <w:r>
              <w:rPr>
                <w:b w:val="0"/>
                <w:sz w:val="19"/>
              </w:rPr>
              <w:t>TRUE</w:t>
            </w:r>
          </w:p>
        </w:tc>
        <w:tc>
          <w:tcPr>
            <w:tcW w:type="dxa" w:w="735"/>
            <w:vAlign w:val="center"/>
            <w:tcMar>
              <w:left w:w="30" w:type="dxa"/>
              <w:right w:w="30" w:type="dxa"/>
            </w:tcMar>
            <w:noWrap/>
          </w:tcPr>
          <w:p>
            <w:pPr>
              <w:keepNext w:val="0"/>
              <w:spacing w:before="80" w:after="80" w:line="245" w:lineRule="auto"/>
              <w:jc w:val="left"/>
            </w:pPr>
            <w:r>
              <w:rPr>
                <w:b w:val="0"/>
                <w:sz w:val="19"/>
              </w:rPr>
              <w:t>1.5e-14</w:t>
            </w:r>
          </w:p>
        </w:tc>
        <w:tc>
          <w:tcPr>
            <w:tcW w:type="dxa" w:w="775"/>
            <w:vAlign w:val="center"/>
            <w:tcMar>
              <w:left w:w="30" w:type="dxa"/>
              <w:right w:w="30" w:type="dxa"/>
            </w:tcMar>
            <w:noWrap/>
          </w:tcPr>
          <w:p>
            <w:pPr>
              <w:keepNext w:val="0"/>
              <w:spacing w:before="80" w:after="80" w:line="245" w:lineRule="auto"/>
              <w:jc w:val="right"/>
            </w:pPr>
            <w:r>
              <w:rPr>
                <w:b w:val="0"/>
                <w:sz w:val="19"/>
              </w:rPr>
              <w:t>16</w:t>
            </w:r>
          </w:p>
        </w:tc>
      </w:tr>
    </w:tbl>
    <w:p>
      <w:pPr>
        <w:spacing w:after="0" w:before="0" w:line="240" w:lineRule="auto"/>
      </w:pPr>
      <w:r>
        <w:rPr>
          <w:sz w:val="6"/>
        </w:rPr>
      </w:r>
    </w:p>
    <w:p>
      <w:pPr/>
      <w:r>
        <w:rPr>
          <w:highlight w:val="yellow"/>
        </w:rPr>
        <w:t>The next question is whether changing eta removes this tradeoff. Table 2 varies only eta for the moving source; its 0.003 row repeats Table 1's setting and is not an independent observation.</w:t>
      </w:r>
    </w:p>
    <w:p>
      <w:pPr>
        <w:pStyle w:val="Caption"/>
      </w:pPr>
      <w:r>
        <w:rPr>
          <w:i/>
        </w:rPr>
        <w:t>Table 2. Complete tolerance-sweep records. All rows have provenance DEMO_STIPULATED, case moving_source, method G, cells = 1,048,576, accepted_steps = 1,000, dt_s = 0.1, final_time_s = 100, accuracy_limit_K = 0.010, memory_MiB = 96, rejected_trials = 0, and status = ACCEPTED. Times are milliseconds; faces and energy residual use Table 1's definitions.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50"/>
        <w:gridCol w:w="880"/>
        <w:gridCol w:w="965"/>
        <w:gridCol w:w="1320"/>
        <w:gridCol w:w="1259"/>
        <w:gridCol w:w="859"/>
        <w:gridCol w:w="900"/>
        <w:gridCol w:w="1195"/>
        <w:gridCol w:w="1085"/>
      </w:tblGrid>
      <w:tr>
        <w:trPr>
          <w:cantSplit/>
          <w:tblHeader/>
        </w:trPr>
        <w:tc>
          <w:tcPr>
            <w:tcW w:type="dxa" w:w="950"/>
            <w:vAlign w:val="center"/>
            <w:tcMar>
              <w:left w:w="30" w:type="dxa"/>
              <w:right w:w="30" w:type="dxa"/>
            </w:tcMar>
            <w:shd w:fill="EDF0F3"/>
          </w:tcPr>
          <w:p>
            <w:pPr>
              <w:keepNext/>
              <w:spacing w:before="80" w:after="80" w:line="245" w:lineRule="auto"/>
              <w:jc w:val="left"/>
            </w:pPr>
            <w:r>
              <w:rPr>
                <w:b/>
                <w:sz w:val="19"/>
              </w:rPr>
              <w:t>Eta</w:t>
            </w:r>
          </w:p>
        </w:tc>
        <w:tc>
          <w:tcPr>
            <w:tcW w:type="dxa" w:w="880"/>
            <w:vAlign w:val="center"/>
            <w:tcMar>
              <w:left w:w="30" w:type="dxa"/>
              <w:right w:w="30" w:type="dxa"/>
            </w:tcMar>
            <w:shd w:fill="EDF0F3"/>
          </w:tcPr>
          <w:p>
            <w:pPr>
              <w:keepNext/>
              <w:spacing w:before="80" w:after="80" w:line="245" w:lineRule="auto"/>
              <w:jc w:val="left"/>
            </w:pPr>
            <w:r>
              <w:rPr>
                <w:b/>
                <w:sz w:val="19"/>
              </w:rPr>
              <w:t>Faces (%)</w:t>
            </w:r>
          </w:p>
        </w:tc>
        <w:tc>
          <w:tcPr>
            <w:tcW w:type="dxa" w:w="965"/>
            <w:vAlign w:val="center"/>
            <w:tcMar>
              <w:left w:w="30" w:type="dxa"/>
              <w:right w:w="30" w:type="dxa"/>
            </w:tcMar>
            <w:shd w:fill="EDF0F3"/>
          </w:tcPr>
          <w:p>
            <w:pPr>
              <w:keepNext/>
              <w:spacing w:before="80" w:after="80" w:line="245" w:lineRule="auto"/>
              <w:jc w:val="left"/>
            </w:pPr>
            <w:r>
              <w:rPr>
                <w:b/>
                <w:sz w:val="19"/>
              </w:rPr>
              <w:t>Guard</w:t>
            </w:r>
          </w:p>
        </w:tc>
        <w:tc>
          <w:tcPr>
            <w:tcW w:type="dxa" w:w="1320"/>
            <w:vAlign w:val="center"/>
            <w:tcMar>
              <w:left w:w="30" w:type="dxa"/>
              <w:right w:w="30" w:type="dxa"/>
            </w:tcMar>
            <w:shd w:fill="EDF0F3"/>
          </w:tcPr>
          <w:p>
            <w:pPr>
              <w:keepNext/>
              <w:spacing w:before="80" w:after="80" w:line="245" w:lineRule="auto"/>
              <w:jc w:val="left"/>
            </w:pPr>
            <w:r>
              <w:rPr>
                <w:b/>
                <w:sz w:val="19"/>
              </w:rPr>
              <w:t>Coefficient</w:t>
            </w:r>
          </w:p>
        </w:tc>
        <w:tc>
          <w:tcPr>
            <w:tcW w:type="dxa" w:w="1259"/>
            <w:vAlign w:val="center"/>
            <w:tcMar>
              <w:left w:w="30" w:type="dxa"/>
              <w:right w:w="30" w:type="dxa"/>
            </w:tcMar>
            <w:shd w:fill="EDF0F3"/>
          </w:tcPr>
          <w:p>
            <w:pPr>
              <w:keepNext/>
              <w:spacing w:before="80" w:after="80" w:line="245" w:lineRule="auto"/>
              <w:jc w:val="left"/>
            </w:pPr>
            <w:r>
              <w:rPr>
                <w:b/>
                <w:sz w:val="19"/>
              </w:rPr>
              <w:t>Transport</w:t>
            </w:r>
          </w:p>
        </w:tc>
        <w:tc>
          <w:tcPr>
            <w:tcW w:type="dxa" w:w="859"/>
            <w:vAlign w:val="center"/>
            <w:tcMar>
              <w:left w:w="30" w:type="dxa"/>
              <w:right w:w="30" w:type="dxa"/>
            </w:tcMar>
            <w:shd w:fill="EDF0F3"/>
          </w:tcPr>
          <w:p>
            <w:pPr>
              <w:keepNext/>
              <w:spacing w:before="80" w:after="80" w:line="245" w:lineRule="auto"/>
              <w:jc w:val="left"/>
            </w:pPr>
            <w:r>
              <w:rPr>
                <w:b/>
                <w:sz w:val="19"/>
              </w:rPr>
              <w:t>Total</w:t>
            </w:r>
          </w:p>
        </w:tc>
        <w:tc>
          <w:tcPr>
            <w:tcW w:type="dxa" w:w="900"/>
            <w:vAlign w:val="center"/>
            <w:tcMar>
              <w:left w:w="30" w:type="dxa"/>
              <w:right w:w="30" w:type="dxa"/>
            </w:tcMar>
            <w:shd w:fill="EDF0F3"/>
          </w:tcPr>
          <w:p>
            <w:pPr>
              <w:keepNext/>
              <w:spacing w:before="80" w:after="80" w:line="245" w:lineRule="auto"/>
              <w:jc w:val="left"/>
            </w:pPr>
            <w:r>
              <w:rPr>
                <w:b/>
                <w:sz w:val="19"/>
              </w:rPr>
              <w:t>Error (K)</w:t>
            </w:r>
          </w:p>
        </w:tc>
        <w:tc>
          <w:tcPr>
            <w:tcW w:type="dxa" w:w="1195"/>
            <w:vAlign w:val="center"/>
            <w:tcMar>
              <w:left w:w="30" w:type="dxa"/>
              <w:right w:w="30" w:type="dxa"/>
            </w:tcMar>
            <w:shd w:fill="EDF0F3"/>
          </w:tcPr>
          <w:p>
            <w:pPr>
              <w:keepNext/>
              <w:spacing w:before="80" w:after="80" w:line="245" w:lineRule="auto"/>
              <w:jc w:val="left"/>
            </w:pPr>
            <w:r>
              <w:rPr>
                <w:b/>
                <w:sz w:val="19"/>
              </w:rPr>
              <w:t>Accuracy pass</w:t>
            </w:r>
          </w:p>
        </w:tc>
        <w:tc>
          <w:tcPr>
            <w:tcW w:type="dxa" w:w="1085"/>
            <w:vAlign w:val="center"/>
            <w:tcMar>
              <w:left w:w="30" w:type="dxa"/>
              <w:right w:w="30" w:type="dxa"/>
            </w:tcMar>
            <w:shd w:fill="EDF0F3"/>
          </w:tcPr>
          <w:p>
            <w:pPr>
              <w:keepNext/>
              <w:spacing w:before="80" w:after="80" w:line="245" w:lineRule="auto"/>
              <w:jc w:val="left"/>
            </w:pPr>
            <w:r>
              <w:rPr>
                <w:b/>
                <w:sz w:val="19"/>
              </w:rPr>
              <w:t>Energy residual</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0.0005</w:t>
            </w:r>
          </w:p>
        </w:tc>
        <w:tc>
          <w:tcPr>
            <w:tcW w:type="dxa" w:w="880"/>
            <w:vAlign w:val="center"/>
            <w:tcMar>
              <w:left w:w="30" w:type="dxa"/>
              <w:right w:w="30" w:type="dxa"/>
            </w:tcMar>
            <w:noWrap/>
          </w:tcPr>
          <w:p>
            <w:pPr>
              <w:keepNext w:val="0"/>
              <w:spacing w:before="80" w:after="80" w:line="245" w:lineRule="auto"/>
              <w:jc w:val="right"/>
            </w:pPr>
            <w:r>
              <w:rPr>
                <w:b w:val="0"/>
                <w:sz w:val="19"/>
              </w:rPr>
              <w:t>88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352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1658</w:t>
            </w:r>
          </w:p>
        </w:tc>
        <w:tc>
          <w:tcPr>
            <w:tcW w:type="dxa" w:w="900"/>
            <w:vAlign w:val="center"/>
            <w:tcMar>
              <w:left w:w="30" w:type="dxa"/>
              <w:right w:w="30" w:type="dxa"/>
            </w:tcMar>
            <w:noWrap/>
          </w:tcPr>
          <w:p>
            <w:pPr>
              <w:keepNext w:val="0"/>
              <w:spacing w:before="80" w:after="80" w:line="245" w:lineRule="auto"/>
              <w:jc w:val="right"/>
            </w:pPr>
            <w:r>
              <w:rPr>
                <w:b w:val="0"/>
                <w:sz w:val="19"/>
              </w:rPr>
              <w:t>0.001</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0.001</w:t>
            </w:r>
          </w:p>
        </w:tc>
        <w:tc>
          <w:tcPr>
            <w:tcW w:type="dxa" w:w="880"/>
            <w:vAlign w:val="center"/>
            <w:tcMar>
              <w:left w:w="30" w:type="dxa"/>
              <w:right w:w="30" w:type="dxa"/>
            </w:tcMar>
            <w:noWrap/>
          </w:tcPr>
          <w:p>
            <w:pPr>
              <w:keepNext w:val="0"/>
              <w:spacing w:before="80" w:after="80" w:line="245" w:lineRule="auto"/>
              <w:jc w:val="right"/>
            </w:pPr>
            <w:r>
              <w:rPr>
                <w:b w:val="0"/>
                <w:sz w:val="19"/>
              </w:rPr>
              <w:t>72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288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1594</w:t>
            </w:r>
          </w:p>
        </w:tc>
        <w:tc>
          <w:tcPr>
            <w:tcW w:type="dxa" w:w="900"/>
            <w:vAlign w:val="center"/>
            <w:tcMar>
              <w:left w:w="30" w:type="dxa"/>
              <w:right w:w="30" w:type="dxa"/>
            </w:tcMar>
            <w:noWrap/>
          </w:tcPr>
          <w:p>
            <w:pPr>
              <w:keepNext w:val="0"/>
              <w:spacing w:before="80" w:after="80" w:line="245" w:lineRule="auto"/>
              <w:jc w:val="right"/>
            </w:pPr>
            <w:r>
              <w:rPr>
                <w:b w:val="0"/>
                <w:sz w:val="19"/>
              </w:rPr>
              <w:t>0.003</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3.6e-14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0.002</w:t>
            </w:r>
          </w:p>
        </w:tc>
        <w:tc>
          <w:tcPr>
            <w:tcW w:type="dxa" w:w="880"/>
            <w:vAlign w:val="center"/>
            <w:tcMar>
              <w:left w:w="30" w:type="dxa"/>
              <w:right w:w="30" w:type="dxa"/>
            </w:tcMar>
            <w:noWrap/>
          </w:tcPr>
          <w:p>
            <w:pPr>
              <w:keepNext w:val="0"/>
              <w:spacing w:before="80" w:after="80" w:line="245" w:lineRule="auto"/>
              <w:jc w:val="right"/>
            </w:pPr>
            <w:r>
              <w:rPr>
                <w:b w:val="0"/>
                <w:sz w:val="19"/>
              </w:rPr>
              <w:t>61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244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1550</w:t>
            </w:r>
          </w:p>
        </w:tc>
        <w:tc>
          <w:tcPr>
            <w:tcW w:type="dxa" w:w="900"/>
            <w:vAlign w:val="center"/>
            <w:tcMar>
              <w:left w:w="30" w:type="dxa"/>
              <w:right w:w="30" w:type="dxa"/>
            </w:tcMar>
            <w:noWrap/>
          </w:tcPr>
          <w:p>
            <w:pPr>
              <w:keepNext w:val="0"/>
              <w:spacing w:before="80" w:after="80" w:line="245" w:lineRule="auto"/>
              <w:jc w:val="right"/>
            </w:pPr>
            <w:r>
              <w:rPr>
                <w:b w:val="0"/>
                <w:sz w:val="19"/>
              </w:rPr>
              <w:t>0.006</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3.8e-14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0.003</w:t>
            </w:r>
          </w:p>
        </w:tc>
        <w:tc>
          <w:tcPr>
            <w:tcW w:type="dxa" w:w="880"/>
            <w:vAlign w:val="center"/>
            <w:tcMar>
              <w:left w:w="30" w:type="dxa"/>
              <w:right w:w="30" w:type="dxa"/>
            </w:tcMar>
            <w:noWrap/>
          </w:tcPr>
          <w:p>
            <w:pPr>
              <w:keepNext w:val="0"/>
              <w:spacing w:before="80" w:after="80" w:line="245" w:lineRule="auto"/>
              <w:jc w:val="right"/>
            </w:pPr>
            <w:r>
              <w:rPr>
                <w:b w:val="0"/>
                <w:sz w:val="19"/>
              </w:rPr>
              <w:t>51</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204</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1510</w:t>
            </w:r>
          </w:p>
        </w:tc>
        <w:tc>
          <w:tcPr>
            <w:tcW w:type="dxa" w:w="900"/>
            <w:vAlign w:val="center"/>
            <w:tcMar>
              <w:left w:w="30" w:type="dxa"/>
              <w:right w:w="30" w:type="dxa"/>
            </w:tcMar>
            <w:noWrap/>
          </w:tcPr>
          <w:p>
            <w:pPr>
              <w:keepNext w:val="0"/>
              <w:spacing w:before="80" w:after="80" w:line="245" w:lineRule="auto"/>
              <w:jc w:val="right"/>
            </w:pPr>
            <w:r>
              <w:rPr>
                <w:b w:val="0"/>
                <w:sz w:val="19"/>
              </w:rPr>
              <w:t>0.009</w:t>
            </w:r>
          </w:p>
        </w:tc>
        <w:tc>
          <w:tcPr>
            <w:tcW w:type="dxa" w:w="1195"/>
            <w:vAlign w:val="center"/>
            <w:tcMar>
              <w:left w:w="30" w:type="dxa"/>
              <w:right w:w="30" w:type="dxa"/>
            </w:tcMar>
          </w:tcPr>
          <w:p>
            <w:pPr>
              <w:keepNext w:val="0"/>
              <w:spacing w:before="80" w:after="80" w:line="245" w:lineRule="auto"/>
              <w:jc w:val="left"/>
            </w:pPr>
            <w:r>
              <w:rPr>
                <w:b w:val="0"/>
                <w:sz w:val="19"/>
              </w:rPr>
              <w:t>TRUE</w:t>
            </w:r>
          </w:p>
        </w:tc>
        <w:tc>
          <w:tcPr>
            <w:tcW w:type="dxa" w:w="1085"/>
            <w:vAlign w:val="center"/>
            <w:tcMar>
              <w:left w:w="30" w:type="dxa"/>
              <w:right w:w="30" w:type="dxa"/>
            </w:tcMar>
            <w:noWrap/>
          </w:tcPr>
          <w:p>
            <w:pPr>
              <w:keepNext w:val="0"/>
              <w:spacing w:before="80" w:after="80" w:line="245" w:lineRule="auto"/>
              <w:jc w:val="left"/>
            </w:pPr>
            <w:r>
              <w:rPr>
                <w:b w:val="0"/>
                <w:sz w:val="19"/>
              </w:rPr>
              <w:t>4.1e-14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0.006</w:t>
            </w:r>
          </w:p>
        </w:tc>
        <w:tc>
          <w:tcPr>
            <w:tcW w:type="dxa" w:w="880"/>
            <w:vAlign w:val="center"/>
            <w:tcMar>
              <w:left w:w="30" w:type="dxa"/>
              <w:right w:w="30" w:type="dxa"/>
            </w:tcMar>
            <w:noWrap/>
          </w:tcPr>
          <w:p>
            <w:pPr>
              <w:keepNext w:val="0"/>
              <w:spacing w:before="80" w:after="80" w:line="245" w:lineRule="auto"/>
              <w:jc w:val="right"/>
            </w:pPr>
            <w:r>
              <w:rPr>
                <w:b w:val="0"/>
                <w:sz w:val="19"/>
              </w:rPr>
              <w:t>32</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128</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1434</w:t>
            </w:r>
          </w:p>
        </w:tc>
        <w:tc>
          <w:tcPr>
            <w:tcW w:type="dxa" w:w="900"/>
            <w:vAlign w:val="center"/>
            <w:tcMar>
              <w:left w:w="30" w:type="dxa"/>
              <w:right w:w="30" w:type="dxa"/>
            </w:tcMar>
            <w:noWrap/>
          </w:tcPr>
          <w:p>
            <w:pPr>
              <w:keepNext w:val="0"/>
              <w:spacing w:before="80" w:after="80" w:line="245" w:lineRule="auto"/>
              <w:jc w:val="right"/>
            </w:pPr>
            <w:r>
              <w:rPr>
                <w:b w:val="0"/>
                <w:sz w:val="19"/>
              </w:rPr>
              <w:t>0.019</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4.3e-14</w:t>
            </w:r>
          </w:p>
        </w:tc>
      </w:tr>
      <w:tr>
        <w:trPr>
          <w:cantSplit/>
        </w:trPr>
        <w:tc>
          <w:tcPr>
            <w:tcW w:type="dxa" w:w="950"/>
            <w:vAlign w:val="center"/>
            <w:tcMar>
              <w:left w:w="30" w:type="dxa"/>
              <w:right w:w="30" w:type="dxa"/>
            </w:tcMar>
            <w:noWrap/>
          </w:tcPr>
          <w:p>
            <w:pPr>
              <w:keepNext w:val="0"/>
              <w:spacing w:before="80" w:after="80" w:line="245" w:lineRule="auto"/>
              <w:jc w:val="right"/>
            </w:pPr>
            <w:r>
              <w:rPr>
                <w:b w:val="0"/>
                <w:sz w:val="19"/>
              </w:rPr>
              <w:t>0.01</w:t>
            </w:r>
          </w:p>
        </w:tc>
        <w:tc>
          <w:tcPr>
            <w:tcW w:type="dxa" w:w="880"/>
            <w:vAlign w:val="center"/>
            <w:tcMar>
              <w:left w:w="30" w:type="dxa"/>
              <w:right w:w="30" w:type="dxa"/>
            </w:tcMar>
            <w:noWrap/>
          </w:tcPr>
          <w:p>
            <w:pPr>
              <w:keepNext w:val="0"/>
              <w:spacing w:before="80" w:after="80" w:line="245" w:lineRule="auto"/>
              <w:jc w:val="right"/>
            </w:pPr>
            <w:r>
              <w:rPr>
                <w:b w:val="0"/>
                <w:sz w:val="19"/>
              </w:rPr>
              <w:t>18</w:t>
            </w:r>
          </w:p>
        </w:tc>
        <w:tc>
          <w:tcPr>
            <w:tcW w:type="dxa" w:w="965"/>
            <w:vAlign w:val="center"/>
            <w:tcMar>
              <w:left w:w="30" w:type="dxa"/>
              <w:right w:w="30" w:type="dxa"/>
            </w:tcMar>
            <w:noWrap/>
          </w:tcPr>
          <w:p>
            <w:pPr>
              <w:keepNext w:val="0"/>
              <w:spacing w:before="80" w:after="80" w:line="245" w:lineRule="auto"/>
              <w:jc w:val="right"/>
            </w:pPr>
            <w:r>
              <w:rPr>
                <w:b w:val="0"/>
                <w:sz w:val="19"/>
              </w:rPr>
              <w:t>120</w:t>
            </w:r>
          </w:p>
        </w:tc>
        <w:tc>
          <w:tcPr>
            <w:tcW w:type="dxa" w:w="1320"/>
            <w:vAlign w:val="center"/>
            <w:tcMar>
              <w:left w:w="30" w:type="dxa"/>
              <w:right w:w="30" w:type="dxa"/>
            </w:tcMar>
            <w:noWrap/>
          </w:tcPr>
          <w:p>
            <w:pPr>
              <w:keepNext w:val="0"/>
              <w:spacing w:before="80" w:after="80" w:line="245" w:lineRule="auto"/>
              <w:jc w:val="right"/>
            </w:pPr>
            <w:r>
              <w:rPr>
                <w:b w:val="0"/>
                <w:sz w:val="19"/>
              </w:rPr>
              <w:t>72</w:t>
            </w:r>
          </w:p>
        </w:tc>
        <w:tc>
          <w:tcPr>
            <w:tcW w:type="dxa" w:w="1259"/>
            <w:vAlign w:val="center"/>
            <w:tcMar>
              <w:left w:w="30" w:type="dxa"/>
              <w:right w:w="30" w:type="dxa"/>
            </w:tcMar>
            <w:noWrap/>
          </w:tcPr>
          <w:p>
            <w:pPr>
              <w:keepNext w:val="0"/>
              <w:spacing w:before="80" w:after="80" w:line="245" w:lineRule="auto"/>
              <w:jc w:val="right"/>
            </w:pPr>
            <w:r>
              <w:rPr>
                <w:b w:val="0"/>
                <w:sz w:val="19"/>
              </w:rPr>
              <w:t>1186</w:t>
            </w:r>
          </w:p>
        </w:tc>
        <w:tc>
          <w:tcPr>
            <w:tcW w:type="dxa" w:w="859"/>
            <w:vAlign w:val="center"/>
            <w:tcMar>
              <w:left w:w="30" w:type="dxa"/>
              <w:right w:w="30" w:type="dxa"/>
            </w:tcMar>
            <w:noWrap/>
          </w:tcPr>
          <w:p>
            <w:pPr>
              <w:keepNext w:val="0"/>
              <w:spacing w:before="80" w:after="80" w:line="245" w:lineRule="auto"/>
              <w:jc w:val="right"/>
            </w:pPr>
            <w:r>
              <w:rPr>
                <w:b w:val="0"/>
                <w:sz w:val="19"/>
              </w:rPr>
              <w:t>1378</w:t>
            </w:r>
          </w:p>
        </w:tc>
        <w:tc>
          <w:tcPr>
            <w:tcW w:type="dxa" w:w="900"/>
            <w:vAlign w:val="center"/>
            <w:tcMar>
              <w:left w:w="30" w:type="dxa"/>
              <w:right w:w="30" w:type="dxa"/>
            </w:tcMar>
            <w:noWrap/>
          </w:tcPr>
          <w:p>
            <w:pPr>
              <w:keepNext w:val="0"/>
              <w:spacing w:before="80" w:after="80" w:line="245" w:lineRule="auto"/>
              <w:jc w:val="right"/>
            </w:pPr>
            <w:r>
              <w:rPr>
                <w:b w:val="0"/>
                <w:sz w:val="19"/>
              </w:rPr>
              <w:t>0.038</w:t>
            </w:r>
          </w:p>
        </w:tc>
        <w:tc>
          <w:tcPr>
            <w:tcW w:type="dxa" w:w="1195"/>
            <w:vAlign w:val="center"/>
            <w:tcMar>
              <w:left w:w="30" w:type="dxa"/>
              <w:right w:w="30" w:type="dxa"/>
            </w:tcMar>
          </w:tcPr>
          <w:p>
            <w:pPr>
              <w:keepNext w:val="0"/>
              <w:spacing w:before="80" w:after="80" w:line="245" w:lineRule="auto"/>
              <w:jc w:val="left"/>
            </w:pPr>
            <w:r>
              <w:rPr>
                <w:b w:val="0"/>
                <w:sz w:val="19"/>
              </w:rPr>
              <w:t>FALSE</w:t>
            </w:r>
          </w:p>
        </w:tc>
        <w:tc>
          <w:tcPr>
            <w:tcW w:type="dxa" w:w="1085"/>
            <w:vAlign w:val="center"/>
            <w:tcMar>
              <w:left w:w="30" w:type="dxa"/>
              <w:right w:w="30" w:type="dxa"/>
            </w:tcMar>
            <w:noWrap/>
          </w:tcPr>
          <w:p>
            <w:pPr>
              <w:keepNext w:val="0"/>
              <w:spacing w:before="80" w:after="80" w:line="245" w:lineRule="auto"/>
              <w:jc w:val="left"/>
            </w:pPr>
            <w:r>
              <w:rPr>
                <w:b w:val="0"/>
                <w:sz w:val="19"/>
              </w:rPr>
              <w:t>4.7e-14</w:t>
            </w:r>
          </w:p>
        </w:tc>
      </w:tr>
    </w:tbl>
    <w:p>
      <w:pPr>
        <w:spacing w:after="0" w:before="0" w:line="240" w:lineRule="auto"/>
      </w:pPr>
      <w:r>
        <w:rPr>
          <w:sz w:val="6"/>
        </w:rPr>
      </w:r>
    </w:p>
    <w:p>
      <w:pPr/>
      <w:r>
        <w:t>At eta = 0.0005 and 0.001, totals of 1658 and 1594 ms exceed V's 1580 ms despite passing accuracy. Values 0.002 and 0.003 both save time and pass. Values 0.006 and 0.010 reduce time further but fail at 0.019 and 0.038 K. Thus a local coefficient tolerance cannot by itself select acceptable solution error. There is no automatic eta controller. Small energy residuals across passing and failing rows also show why energy accounting cannot replace the temperature comparison.</w:t>
      </w:r>
    </w:p>
    <w:p>
      <w:pPr>
        <w:pStyle w:val="Heading1"/>
      </w:pPr>
      <w:r>
        <w:rPr>
          <w:highlight w:val="yellow"/>
        </w:rPr>
        <w:t>6. What remains to be established</w:t>
      </w:r>
    </w:p>
    <w:p>
      <w:pPr/>
      <w:r>
        <w:rPr>
          <w:highlight w:val="yellow"/>
        </w:rPr>
        <w:t>The bound and two-cell arithmetic are directly checkable. The times, face fractions, final errors, and floating-point residuals are stipulated, with no solver trajectories or sampled variance behind them. Missing source arrays and trajectories prevent solver reproduction. Snapshot traffic, cache behavior, vector occupancy, parallel scaling, mixed materials, and time-dependent beta remain untested. Arithmetic reproducibility therefore does not establish measured benefit. Without literature validation, novelty and superiority to published methods remain unresolved; neither statistical significance nor production readiness is established.</w:t>
      </w:r>
    </w:p>
    <w:p>
      <w:pPr>
        <w:pStyle w:val="Heading1"/>
      </w:pPr>
      <w:r>
        <w:t>7. Conclusion</w:t>
      </w:r>
    </w:p>
    <w:p>
      <w:pPr/>
      <w:r>
        <w:rPr>
          <w:highlight w:val="yellow"/>
        </w:rPr>
        <w:t>Keeping both endpoint snapshots with a face's owner ties reuse to the state that produced its coefficient across independent group refreshes. Paired fluxes and accepted-state rules address the separate obligations of energy accounting and time-step commitment. Within the fictional accounting, G is useful on the boundary ramp and moving source; P4 is preferable on the slow plate, and full refresh avoids G's timing losses in the other two nonconstant cases. This connects a consistent reuse decision to explicit costs and limits, while leaving global temperature accuracy subject to a separate comparison.</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6666"/>
        <w:sz w:val="17"/>
      </w:rPr>
      <w:t>Synthetic research example — no real measurements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eastAsia="Microsoft YaHei"/>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9" w:lineRule="auto"/>
      <w:outlineLvl w:val="1"/>
    </w:pPr>
    <w:rPr>
      <w:rFonts w:ascii="Times New Roman" w:hAnsi="Times New Roman"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69" w:lineRule="auto"/>
      <w:contextualSpacing/>
    </w:pPr>
    <w:rPr>
      <w:rFonts w:ascii="Times New Roman" w:hAnsi="Times New Roman"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69" w:lineRule="auto" w:after="120"/>
    </w:pPr>
    <w:rPr>
      <w:rFonts w:ascii="Times New Roman" w:hAnsi="Times New Roman" w:eastAsia="Microsoft YaHe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