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rPr>
          <w:highlight w:val="yellow"/>
        </w:rP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both assemblies passing all three leak checks. Maximum absolute differences from matched reference readings increase by 0.01 kPa in two conditions and remain unchanged in the third.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rPr>
          <w:highlight w:val="yellow"/>
        </w:rP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rPr>
          <w:highlight w:val="yellow"/>
        </w:rP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rPr>
          <w:highlight w:val="yellow"/>
        </w:rP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rPr>
          <w:highlight w:val="yellow"/>
        </w:rPr>
        <w:t xml:space="preserve"> The hose baseline connects each reference side to the same source through its own hose. Replacing these hoses with the base leaves the sensor range and software difference calculation unchanged.</w:t>
      </w:r>
    </w:p>
    <w:p>
      <w:pPr/>
      <w:r>
        <w:rPr>
          <w:highlight w:val="yellow"/>
        </w:rP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rPr>
          <w:highlight w:val="yellow"/>
        </w:rP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rPr>
          <w:highlight w:val="yellow"/>
        </w:rP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rPr>
          <w:highlight w:val="yellow"/>
        </w:rP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rPr>
          <w:highlight w:val="yellow"/>
        </w:rP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rPr>
          <w:highlight w:val="yellow"/>
        </w:rPr>
        <w:t xml:space="preserve">Table 1. Complete DEMO records for the fixed paired conditions. Setup time is in minutes and maximum absolute difference is in kPa. NA follows a failed leak check.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condition</w:t>
            </w:r>
          </w:p>
        </w:tc>
        <w:tc>
          <w:tcPr>
            <w:tcW w:type="dxa" w:w="1814"/>
          </w:tcPr>
          <w:p>
            <w:r>
              <w:t>assembly</w:t>
            </w:r>
          </w:p>
        </w:tc>
        <w:tc>
          <w:tcPr>
            <w:tcW w:type="dxa" w:w="1814"/>
          </w:tcPr>
          <w:p>
            <w:r>
              <w:t>setup_min</w:t>
            </w:r>
          </w:p>
        </w:tc>
        <w:tc>
          <w:tcPr>
            <w:tcW w:type="dxa" w:w="1814"/>
          </w:tcPr>
          <w:p>
            <w:r>
              <w:t>max_abs_difference_kPa</w:t>
            </w:r>
          </w:p>
        </w:tc>
        <w:tc>
          <w:tcPr>
            <w:tcW w:type="dxa" w:w="1814"/>
          </w:tcPr>
          <w:p>
            <w:r>
              <w:t>leak_check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rPr>
          <w:highlight w:val="yellow"/>
        </w:rPr>
        <w:t xml:space="preserve">The paired conditions make replacement an interface-level tradeoff. The hose baseline already passes every leak check; the base must retain that qualification while reducing setup time. It exchanges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rPr>
          <w:highlight w:val="yellow"/>
        </w:rP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