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t xml:space="preserve">Locking after seating in compression tests</w:t>
      </w:r>
    </w:p>
    <w:p>
      <w:pPr>
        <w:pStyle w:val="Heading1"/>
      </w:pPr>
      <w:r>
        <w:t>Abstract</w:t>
      </w:r>
    </w:p>
    <w:p>
      <w:r>
        <w:t xml:space="preserve">Locking a pivoting compression pad before contact prevents angular seating; leaving it free during loading can permit drift. In this constructed teaching comparison, we instead hold contact at 10 N, lock the existing clamp, and apply the same 0.20 mm ramp. On a 1° pitch slope, the end-force coefficient of variation across eight reseatings of one coupon fell from 7.2% with pre-locking to 2.3%. Compared with remaining free, median drift fell from 125 to 19 μm, but preparation took 32 rather than 17 s; force variation was 2.1% when free. Flat-coupon repeatability changed little, and the single pivot could not accommodate a cross-slope. Findings concern reseating repeatability and drift, with no uncertainty estimates or claim of force accuracy.</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